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center"/>
      </w:pPr>
      <w:r>
        <w:rPr>
          <w:b/>
          <w:bCs/>
          <w:color w:val="1F3864"/>
          <w:sz w:val="44"/>
          <w:szCs w:val="44"/>
        </w:rPr>
        <w:t xml:space="preserve">GAP ANALYSIS</w:t>
      </w:r>
    </w:p>
    <w:p>
      <w:pPr>
        <w:spacing w:after="300"/>
        <w:jc w:val="center"/>
      </w:pPr>
      <w:r>
        <w:rPr>
          <w:i/>
          <w:iCs/>
          <w:color w:val="444444"/>
          <w:sz w:val="26"/>
          <w:szCs w:val="26"/>
        </w:rPr>
        <w:t xml:space="preserve">Brand Differentiation &amp; Unique Value Proposition Project</w:t>
      </w:r>
    </w:p>
    <w:p>
      <w:pPr>
        <w:jc w:val="center"/>
      </w:pPr>
      <w:r>
        <w:rPr>
          <w:sz w:val="22"/>
          <w:szCs w:val="22"/>
        </w:rPr>
        <w:t xml:space="preserve">Organization: Haimaline Holistic Harmony</w:t>
      </w:r>
    </w:p>
    <w:p>
      <w:pPr>
        <w:jc w:val="center"/>
      </w:pPr>
      <w:r>
        <w:rPr>
          <w:sz w:val="22"/>
          <w:szCs w:val="22"/>
        </w:rPr>
        <w:t xml:space="preserve">Prepared By: Michon Raquel Cooper</w:t>
      </w:r>
    </w:p>
    <w:p>
      <w:pPr>
        <w:jc w:val="center"/>
      </w:pPr>
      <w:r>
        <w:rPr>
          <w:sz w:val="22"/>
          <w:szCs w:val="22"/>
        </w:rPr>
        <w:t xml:space="preserve">Date: July 17, 2026</w:t>
      </w:r>
    </w:p>
    <w:p>
      <w:pPr>
        <w:spacing w:after="240"/>
        <w:jc w:val="center"/>
      </w:pPr>
      <w:r>
        <w:rPr>
          <w:sz w:val="22"/>
          <w:szCs w:val="22"/>
        </w:rPr>
        <w:t xml:space="preserve">Version: 1.0</w:t>
      </w:r>
    </w:p>
    <w:p>
      <w:pPr>
        <w:spacing w:after="300"/>
        <w:jc w:val="center"/>
      </w:pPr>
      <w:r>
        <w:rPr>
          <w:i/>
          <w:iCs/>
          <w:color w:val="666666"/>
          <w:sz w:val="20"/>
          <w:szCs w:val="20"/>
        </w:rPr>
        <w:t xml:space="preserve">Companion document to: BRD v1.3 (Brand Differentiation &amp; UVP Project)</w:t>
      </w:r>
    </w:p>
    <w:p>
      <w:pPr>
        <w:pStyle w:val="Heading1"/>
        <w:spacing w:after="160" w:before="320"/>
      </w:pPr>
      <w:r>
        <w:rPr>
          <w:b/>
          <w:bCs/>
          <w:color w:val="1F3864"/>
        </w:rPr>
        <w:t xml:space="preserve">1. Purpose &amp; Methodology</w:t>
      </w:r>
    </w:p>
    <w:p>
      <w:pPr>
        <w:spacing w:after="160"/>
      </w:pPr>
      <w:r>
        <w:t xml:space="preserve">This Gap Analysis translates findings already documented in the BRD (Five Whys root cause analysis, process inventory, requirements traceability matrix, and DOWNTIME waste assessment) into a single, structured current-state-versus-desired-state view. It makes explicit what exists today, what needs to exist to reach the BRD's desired outcomes (Section 2.3), the size and type of each gap, and the priority in which gaps should be closed.</w:t>
      </w:r>
    </w:p>
    <w:p>
      <w:pPr>
        <w:spacing w:after="160"/>
      </w:pPr>
      <w:r>
        <w:t xml:space="preserve">Four gap categories are assessed:</w:t>
      </w:r>
    </w:p>
    <w:p>
      <w:pPr>
        <w:pStyle w:val="ListParagraph"/>
        <w:numPr>
          <w:ilvl w:val="0"/>
          <w:numId w:val="1"/>
        </w:numPr>
        <w:spacing w:after="80"/>
      </w:pPr>
      <w:r>
        <w:t xml:space="preserve">Strategic &amp; Brand Gaps — UVP, positioning, and messaging maturity</w:t>
      </w:r>
    </w:p>
    <w:p>
      <w:pPr>
        <w:pStyle w:val="ListParagraph"/>
        <w:numPr>
          <w:ilvl w:val="0"/>
          <w:numId w:val="1"/>
        </w:numPr>
        <w:spacing w:after="80"/>
      </w:pPr>
      <w:r>
        <w:t xml:space="preserve">Process Gaps — the 14 cataloged marketing/client-acquisition processes (Appendix C)</w:t>
      </w:r>
    </w:p>
    <w:p>
      <w:pPr>
        <w:pStyle w:val="ListParagraph"/>
        <w:numPr>
          <w:ilvl w:val="0"/>
          <w:numId w:val="1"/>
        </w:numPr>
        <w:spacing w:after="80"/>
      </w:pPr>
      <w:r>
        <w:t xml:space="preserve">Requirements Gaps — open items in the Requirements Traceability Matrix (Appendix B)</w:t>
      </w:r>
    </w:p>
    <w:p>
      <w:pPr>
        <w:pStyle w:val="ListParagraph"/>
        <w:numPr>
          <w:ilvl w:val="0"/>
          <w:numId w:val="1"/>
        </w:numPr>
        <w:spacing w:after="80"/>
      </w:pPr>
      <w:r>
        <w:t xml:space="preserve">Operational Waste Gaps — DOWNTIME findings (Appendix E)</w:t>
      </w:r>
    </w:p>
    <w:p>
      <w:pPr>
        <w:spacing w:after="160"/>
      </w:pPr>
      <w:r>
        <w:t xml:space="preserve">Priority ratings use the same evidence-strength logic as the BRD: High = tied to a universal or near-universal finding that directly blocks the desired outcome; Medium = tied to a moderate or single-segment finding; Low = tied to a single data point or minor signal.</w:t>
      </w:r>
    </w:p>
    <w:p>
      <w:pPr>
        <w:pStyle w:val="Heading1"/>
        <w:spacing w:after="160" w:before="320"/>
      </w:pPr>
      <w:r>
        <w:rPr>
          <w:b/>
          <w:bCs/>
          <w:color w:val="1F3864"/>
        </w:rPr>
        <w:t xml:space="preserve">2. Executive Summary of Gaps</w:t>
      </w:r>
    </w:p>
    <w:p>
      <w:pPr>
        <w:spacing w:after="160"/>
      </w:pPr>
      <w:r>
        <w:t xml:space="preserve">The overarching gap is strategic: Haimaline Holistic Harmony has clinical and service-delivery maturity but no documented Unique Value Proposition, brand positioning guide, or audience-specific messaging framework. This single strategic gap cascades into downstream process gaps (no marketing owner, no pricing tiers, no KPI tracking, no lead-nurture sequence) and leaves client-validated needs (Appendix B) unaddressed in the current offering. Closing the strategic gap first is a prerequisite for closing most process and requirement gaps below; this sequencing is reflected in the phased roadmap in Section 7.</w:t>
      </w:r>
    </w:p>
    <w:p>
      <w:pPr>
        <w:spacing w:after="160"/>
      </w:pPr>
      <w:r>
        <w:rPr>
          <w:b/>
          <w:bCs/>
        </w:rPr>
        <w:t xml:space="preserve">Gap volume by priority across all four categories:</w:t>
      </w:r>
    </w:p>
    <w:tbl>
      <w:tblPr>
        <w:tblW w:type="dxa" w:w="9600"/>
        <w:tblBorders>
          <w:top w:val="single" w:color="auto" w:sz="4"/>
          <w:left w:val="single" w:color="auto" w:sz="4"/>
          <w:bottom w:val="single" w:color="auto" w:sz="4"/>
          <w:right w:val="single" w:color="auto" w:sz="4"/>
          <w:insideH w:val="single" w:color="auto" w:sz="4"/>
          <w:insideV w:val="single" w:color="auto" w:sz="4"/>
        </w:tblBorders>
      </w:tblPr>
      <w:tblGrid>
        <w:gridCol w:w="4000"/>
        <w:gridCol w:w="1500"/>
        <w:gridCol w:w="1500"/>
        <w:gridCol w:w="1200"/>
        <w:gridCol w:w="1400"/>
      </w:tblGrid>
      <w:tr>
        <w:trPr>
          <w:tblHeader/>
        </w:trPr>
        <w:tc>
          <w:tcPr>
            <w:tcW w:type="dxa" w:w="4000"/>
            <w:shd w:fill="1F3864" w:val="clear"/>
            <w:tcMar>
              <w:top w:type="dxa" w:w="80"/>
              <w:left w:type="dxa" w:w="100"/>
              <w:bottom w:type="dxa" w:w="80"/>
              <w:right w:type="dxa" w:w="100"/>
            </w:tcMar>
            <w:vAlign w:val="center"/>
          </w:tcPr>
          <w:p>
            <w:r>
              <w:rPr>
                <w:b/>
                <w:bCs/>
                <w:color w:val="FFFFFF"/>
                <w:sz w:val="18"/>
                <w:szCs w:val="18"/>
              </w:rPr>
              <w:t xml:space="preserve">Category</w:t>
            </w:r>
          </w:p>
        </w:tc>
        <w:tc>
          <w:tcPr>
            <w:tcW w:type="dxa" w:w="1500"/>
            <w:shd w:fill="1F3864" w:val="clear"/>
            <w:tcMar>
              <w:top w:type="dxa" w:w="80"/>
              <w:left w:type="dxa" w:w="100"/>
              <w:bottom w:type="dxa" w:w="80"/>
              <w:right w:type="dxa" w:w="100"/>
            </w:tcMar>
            <w:vAlign w:val="center"/>
          </w:tcPr>
          <w:p>
            <w:r>
              <w:rPr>
                <w:b/>
                <w:bCs/>
                <w:color w:val="FFFFFF"/>
                <w:sz w:val="18"/>
                <w:szCs w:val="18"/>
              </w:rPr>
              <w:t xml:space="preserve">High</w:t>
            </w:r>
          </w:p>
        </w:tc>
        <w:tc>
          <w:tcPr>
            <w:tcW w:type="dxa" w:w="1500"/>
            <w:shd w:fill="1F3864" w:val="clear"/>
            <w:tcMar>
              <w:top w:type="dxa" w:w="80"/>
              <w:left w:type="dxa" w:w="100"/>
              <w:bottom w:type="dxa" w:w="80"/>
              <w:right w:type="dxa" w:w="100"/>
            </w:tcMar>
            <w:vAlign w:val="center"/>
          </w:tcPr>
          <w:p>
            <w:r>
              <w:rPr>
                <w:b/>
                <w:bCs/>
                <w:color w:val="FFFFFF"/>
                <w:sz w:val="18"/>
                <w:szCs w:val="18"/>
              </w:rPr>
              <w:t xml:space="preserve">Medium</w:t>
            </w:r>
          </w:p>
        </w:tc>
        <w:tc>
          <w:tcPr>
            <w:tcW w:type="dxa" w:w="1200"/>
            <w:shd w:fill="1F3864" w:val="clear"/>
            <w:tcMar>
              <w:top w:type="dxa" w:w="80"/>
              <w:left w:type="dxa" w:w="100"/>
              <w:bottom w:type="dxa" w:w="80"/>
              <w:right w:type="dxa" w:w="100"/>
            </w:tcMar>
            <w:vAlign w:val="center"/>
          </w:tcPr>
          <w:p>
            <w:r>
              <w:rPr>
                <w:b/>
                <w:bCs/>
                <w:color w:val="FFFFFF"/>
                <w:sz w:val="18"/>
                <w:szCs w:val="18"/>
              </w:rPr>
              <w:t xml:space="preserve">Low</w:t>
            </w:r>
          </w:p>
        </w:tc>
        <w:tc>
          <w:tcPr>
            <w:tcW w:type="dxa" w:w="1400"/>
            <w:shd w:fill="1F3864" w:val="clear"/>
            <w:tcMar>
              <w:top w:type="dxa" w:w="80"/>
              <w:left w:type="dxa" w:w="100"/>
              <w:bottom w:type="dxa" w:w="80"/>
              <w:right w:type="dxa" w:w="100"/>
            </w:tcMar>
            <w:vAlign w:val="center"/>
          </w:tcPr>
          <w:p>
            <w:r>
              <w:rPr>
                <w:b/>
                <w:bCs/>
                <w:color w:val="FFFFFF"/>
                <w:sz w:val="18"/>
                <w:szCs w:val="18"/>
              </w:rPr>
              <w:t xml:space="preserve">Total</w:t>
            </w:r>
          </w:p>
        </w:tc>
      </w:tr>
      <w:tr>
        <w:tc>
          <w:tcPr>
            <w:tcW w:type="dxa" w:w="4000"/>
            <w:tcMar>
              <w:top w:type="dxa" w:w="80"/>
              <w:left w:type="dxa" w:w="100"/>
              <w:bottom w:type="dxa" w:w="80"/>
              <w:right w:type="dxa" w:w="100"/>
            </w:tcMar>
            <w:vAlign w:val="center"/>
          </w:tcPr>
          <w:p>
            <w:r>
              <w:rPr>
                <w:sz w:val="18"/>
                <w:szCs w:val="18"/>
              </w:rPr>
              <w:t xml:space="preserve">Strategic &amp; Brand</w:t>
            </w:r>
          </w:p>
        </w:tc>
        <w:tc>
          <w:tcPr>
            <w:tcW w:type="dxa" w:w="1500"/>
            <w:tcMar>
              <w:top w:type="dxa" w:w="80"/>
              <w:left w:type="dxa" w:w="100"/>
              <w:bottom w:type="dxa" w:w="80"/>
              <w:right w:type="dxa" w:w="100"/>
            </w:tcMar>
            <w:vAlign w:val="center"/>
          </w:tcPr>
          <w:p>
            <w:r>
              <w:rPr>
                <w:sz w:val="18"/>
                <w:szCs w:val="18"/>
              </w:rPr>
              <w:t xml:space="preserve">3</w:t>
            </w:r>
          </w:p>
        </w:tc>
        <w:tc>
          <w:tcPr>
            <w:tcW w:type="dxa" w:w="1500"/>
            <w:tcMar>
              <w:top w:type="dxa" w:w="80"/>
              <w:left w:type="dxa" w:w="100"/>
              <w:bottom w:type="dxa" w:w="80"/>
              <w:right w:type="dxa" w:w="100"/>
            </w:tcMar>
            <w:vAlign w:val="center"/>
          </w:tcPr>
          <w:p>
            <w:r>
              <w:rPr>
                <w:sz w:val="18"/>
                <w:szCs w:val="18"/>
              </w:rPr>
              <w:t xml:space="preserve">2</w:t>
            </w:r>
          </w:p>
        </w:tc>
        <w:tc>
          <w:tcPr>
            <w:tcW w:type="dxa" w:w="1200"/>
            <w:tcMar>
              <w:top w:type="dxa" w:w="80"/>
              <w:left w:type="dxa" w:w="100"/>
              <w:bottom w:type="dxa" w:w="80"/>
              <w:right w:type="dxa" w:w="100"/>
            </w:tcMar>
            <w:vAlign w:val="center"/>
          </w:tcPr>
          <w:p>
            <w:r>
              <w:rPr>
                <w:sz w:val="18"/>
                <w:szCs w:val="18"/>
              </w:rPr>
              <w:t xml:space="preserve">0</w:t>
            </w:r>
          </w:p>
        </w:tc>
        <w:tc>
          <w:tcPr>
            <w:tcW w:type="dxa" w:w="1400"/>
            <w:tcMar>
              <w:top w:type="dxa" w:w="80"/>
              <w:left w:type="dxa" w:w="100"/>
              <w:bottom w:type="dxa" w:w="80"/>
              <w:right w:type="dxa" w:w="100"/>
            </w:tcMar>
            <w:vAlign w:val="center"/>
          </w:tcPr>
          <w:p>
            <w:r>
              <w:rPr>
                <w:sz w:val="18"/>
                <w:szCs w:val="18"/>
              </w:rPr>
              <w:t xml:space="preserve">5</w:t>
            </w:r>
          </w:p>
        </w:tc>
      </w:tr>
      <w:tr>
        <w:tc>
          <w:tcPr>
            <w:tcW w:type="dxa" w:w="4000"/>
            <w:tcMar>
              <w:top w:type="dxa" w:w="80"/>
              <w:left w:type="dxa" w:w="100"/>
              <w:bottom w:type="dxa" w:w="80"/>
              <w:right w:type="dxa" w:w="100"/>
            </w:tcMar>
            <w:vAlign w:val="center"/>
          </w:tcPr>
          <w:p>
            <w:r>
              <w:rPr>
                <w:sz w:val="18"/>
                <w:szCs w:val="18"/>
              </w:rPr>
              <w:t xml:space="preserve">Process (Appendix C)</w:t>
            </w:r>
          </w:p>
        </w:tc>
        <w:tc>
          <w:tcPr>
            <w:tcW w:type="dxa" w:w="1500"/>
            <w:tcMar>
              <w:top w:type="dxa" w:w="80"/>
              <w:left w:type="dxa" w:w="100"/>
              <w:bottom w:type="dxa" w:w="80"/>
              <w:right w:type="dxa" w:w="100"/>
            </w:tcMar>
            <w:vAlign w:val="center"/>
          </w:tcPr>
          <w:p>
            <w:r>
              <w:rPr>
                <w:sz w:val="18"/>
                <w:szCs w:val="18"/>
              </w:rPr>
              <w:t xml:space="preserve">5</w:t>
            </w:r>
          </w:p>
        </w:tc>
        <w:tc>
          <w:tcPr>
            <w:tcW w:type="dxa" w:w="1500"/>
            <w:tcMar>
              <w:top w:type="dxa" w:w="80"/>
              <w:left w:type="dxa" w:w="100"/>
              <w:bottom w:type="dxa" w:w="80"/>
              <w:right w:type="dxa" w:w="100"/>
            </w:tcMar>
            <w:vAlign w:val="center"/>
          </w:tcPr>
          <w:p>
            <w:r>
              <w:rPr>
                <w:sz w:val="18"/>
                <w:szCs w:val="18"/>
              </w:rPr>
              <w:t xml:space="preserve">4</w:t>
            </w:r>
          </w:p>
        </w:tc>
        <w:tc>
          <w:tcPr>
            <w:tcW w:type="dxa" w:w="1200"/>
            <w:tcMar>
              <w:top w:type="dxa" w:w="80"/>
              <w:left w:type="dxa" w:w="100"/>
              <w:bottom w:type="dxa" w:w="80"/>
              <w:right w:type="dxa" w:w="100"/>
            </w:tcMar>
            <w:vAlign w:val="center"/>
          </w:tcPr>
          <w:p>
            <w:r>
              <w:rPr>
                <w:sz w:val="18"/>
                <w:szCs w:val="18"/>
              </w:rPr>
              <w:t xml:space="preserve">1</w:t>
            </w:r>
          </w:p>
        </w:tc>
        <w:tc>
          <w:tcPr>
            <w:tcW w:type="dxa" w:w="1400"/>
            <w:tcMar>
              <w:top w:type="dxa" w:w="80"/>
              <w:left w:type="dxa" w:w="100"/>
              <w:bottom w:type="dxa" w:w="80"/>
              <w:right w:type="dxa" w:w="100"/>
            </w:tcMar>
            <w:vAlign w:val="center"/>
          </w:tcPr>
          <w:p>
            <w:r>
              <w:rPr>
                <w:sz w:val="18"/>
                <w:szCs w:val="18"/>
              </w:rPr>
              <w:t xml:space="preserve">10</w:t>
            </w:r>
          </w:p>
        </w:tc>
      </w:tr>
      <w:tr>
        <w:tc>
          <w:tcPr>
            <w:tcW w:type="dxa" w:w="4000"/>
            <w:tcMar>
              <w:top w:type="dxa" w:w="80"/>
              <w:left w:type="dxa" w:w="100"/>
              <w:bottom w:type="dxa" w:w="80"/>
              <w:right w:type="dxa" w:w="100"/>
            </w:tcMar>
            <w:vAlign w:val="center"/>
          </w:tcPr>
          <w:p>
            <w:r>
              <w:rPr>
                <w:sz w:val="18"/>
                <w:szCs w:val="18"/>
              </w:rPr>
              <w:t xml:space="preserve">Requirements (Appendix B, Open)</w:t>
            </w:r>
          </w:p>
        </w:tc>
        <w:tc>
          <w:tcPr>
            <w:tcW w:type="dxa" w:w="1500"/>
            <w:tcMar>
              <w:top w:type="dxa" w:w="80"/>
              <w:left w:type="dxa" w:w="100"/>
              <w:bottom w:type="dxa" w:w="80"/>
              <w:right w:type="dxa" w:w="100"/>
            </w:tcMar>
            <w:vAlign w:val="center"/>
          </w:tcPr>
          <w:p>
            <w:r>
              <w:rPr>
                <w:sz w:val="18"/>
                <w:szCs w:val="18"/>
              </w:rPr>
              <w:t xml:space="preserve">3</w:t>
            </w:r>
          </w:p>
        </w:tc>
        <w:tc>
          <w:tcPr>
            <w:tcW w:type="dxa" w:w="1500"/>
            <w:tcMar>
              <w:top w:type="dxa" w:w="80"/>
              <w:left w:type="dxa" w:w="100"/>
              <w:bottom w:type="dxa" w:w="80"/>
              <w:right w:type="dxa" w:w="100"/>
            </w:tcMar>
            <w:vAlign w:val="center"/>
          </w:tcPr>
          <w:p>
            <w:r>
              <w:rPr>
                <w:sz w:val="18"/>
                <w:szCs w:val="18"/>
              </w:rPr>
              <w:t xml:space="preserve">5</w:t>
            </w:r>
          </w:p>
        </w:tc>
        <w:tc>
          <w:tcPr>
            <w:tcW w:type="dxa" w:w="1200"/>
            <w:tcMar>
              <w:top w:type="dxa" w:w="80"/>
              <w:left w:type="dxa" w:w="100"/>
              <w:bottom w:type="dxa" w:w="80"/>
              <w:right w:type="dxa" w:w="100"/>
            </w:tcMar>
            <w:vAlign w:val="center"/>
          </w:tcPr>
          <w:p>
            <w:r>
              <w:rPr>
                <w:sz w:val="18"/>
                <w:szCs w:val="18"/>
              </w:rPr>
              <w:t xml:space="preserve">3</w:t>
            </w:r>
          </w:p>
        </w:tc>
        <w:tc>
          <w:tcPr>
            <w:tcW w:type="dxa" w:w="1400"/>
            <w:tcMar>
              <w:top w:type="dxa" w:w="80"/>
              <w:left w:type="dxa" w:w="100"/>
              <w:bottom w:type="dxa" w:w="80"/>
              <w:right w:type="dxa" w:w="100"/>
            </w:tcMar>
            <w:vAlign w:val="center"/>
          </w:tcPr>
          <w:p>
            <w:r>
              <w:rPr>
                <w:sz w:val="18"/>
                <w:szCs w:val="18"/>
              </w:rPr>
              <w:t xml:space="preserve">11</w:t>
            </w:r>
          </w:p>
        </w:tc>
      </w:tr>
      <w:tr>
        <w:tc>
          <w:tcPr>
            <w:tcW w:type="dxa" w:w="4000"/>
            <w:tcMar>
              <w:top w:type="dxa" w:w="80"/>
              <w:left w:type="dxa" w:w="100"/>
              <w:bottom w:type="dxa" w:w="80"/>
              <w:right w:type="dxa" w:w="100"/>
            </w:tcMar>
            <w:vAlign w:val="center"/>
          </w:tcPr>
          <w:p>
            <w:r>
              <w:rPr>
                <w:sz w:val="18"/>
                <w:szCs w:val="18"/>
              </w:rPr>
              <w:t xml:space="preserve">Operational Waste (Appendix E)</w:t>
            </w:r>
          </w:p>
        </w:tc>
        <w:tc>
          <w:tcPr>
            <w:tcW w:type="dxa" w:w="1500"/>
            <w:tcMar>
              <w:top w:type="dxa" w:w="80"/>
              <w:left w:type="dxa" w:w="100"/>
              <w:bottom w:type="dxa" w:w="80"/>
              <w:right w:type="dxa" w:w="100"/>
            </w:tcMar>
            <w:vAlign w:val="center"/>
          </w:tcPr>
          <w:p>
            <w:r>
              <w:rPr>
                <w:sz w:val="18"/>
                <w:szCs w:val="18"/>
              </w:rPr>
              <w:t xml:space="preserve">3</w:t>
            </w:r>
          </w:p>
        </w:tc>
        <w:tc>
          <w:tcPr>
            <w:tcW w:type="dxa" w:w="1500"/>
            <w:tcMar>
              <w:top w:type="dxa" w:w="80"/>
              <w:left w:type="dxa" w:w="100"/>
              <w:bottom w:type="dxa" w:w="80"/>
              <w:right w:type="dxa" w:w="100"/>
            </w:tcMar>
            <w:vAlign w:val="center"/>
          </w:tcPr>
          <w:p>
            <w:r>
              <w:rPr>
                <w:sz w:val="18"/>
                <w:szCs w:val="18"/>
              </w:rPr>
              <w:t xml:space="preserve">3</w:t>
            </w:r>
          </w:p>
        </w:tc>
        <w:tc>
          <w:tcPr>
            <w:tcW w:type="dxa" w:w="1200"/>
            <w:tcMar>
              <w:top w:type="dxa" w:w="80"/>
              <w:left w:type="dxa" w:w="100"/>
              <w:bottom w:type="dxa" w:w="80"/>
              <w:right w:type="dxa" w:w="100"/>
            </w:tcMar>
            <w:vAlign w:val="center"/>
          </w:tcPr>
          <w:p>
            <w:r>
              <w:rPr>
                <w:sz w:val="18"/>
                <w:szCs w:val="18"/>
              </w:rPr>
              <w:t xml:space="preserve">2</w:t>
            </w:r>
          </w:p>
        </w:tc>
        <w:tc>
          <w:tcPr>
            <w:tcW w:type="dxa" w:w="1400"/>
            <w:tcMar>
              <w:top w:type="dxa" w:w="80"/>
              <w:left w:type="dxa" w:w="100"/>
              <w:bottom w:type="dxa" w:w="80"/>
              <w:right w:type="dxa" w:w="100"/>
            </w:tcMar>
            <w:vAlign w:val="center"/>
          </w:tcPr>
          <w:p>
            <w:r>
              <w:rPr>
                <w:sz w:val="18"/>
                <w:szCs w:val="18"/>
              </w:rPr>
              <w:t xml:space="preserve">8</w:t>
            </w:r>
          </w:p>
        </w:tc>
      </w:tr>
    </w:tbl>
    <w:p>
      <w:pPr>
        <w:spacing w:after="160"/>
      </w:pPr>
      <w:r>
        <w:t xml:space="preserve"> </w:t>
      </w:r>
    </w:p>
    <w:p>
      <w:pPr>
        <w:pStyle w:val="Heading1"/>
        <w:spacing w:after="160" w:before="320"/>
      </w:pPr>
      <w:r>
        <w:rPr>
          <w:b/>
          <w:bCs/>
          <w:color w:val="1F3864"/>
        </w:rPr>
        <w:t xml:space="preserve">3. Strategic &amp; Brand Gaps</w:t>
      </w:r>
    </w:p>
    <w:p>
      <w:pPr>
        <w:spacing w:after="160"/>
      </w:pPr>
      <w:r>
        <w:t xml:space="preserve">Derived from the Five Whys root cause analysis (BRD Section 2.2) and the Desired Outcome Statement (BRD Section 2.3).</w:t>
      </w:r>
    </w:p>
    <w:tbl>
      <w:tblPr>
        <w:tblW w:type="dxa" w:w="9200"/>
        <w:tblBorders>
          <w:top w:val="single" w:color="auto" w:sz="4"/>
          <w:left w:val="single" w:color="auto" w:sz="4"/>
          <w:bottom w:val="single" w:color="auto" w:sz="4"/>
          <w:right w:val="single" w:color="auto" w:sz="4"/>
          <w:insideH w:val="single" w:color="auto" w:sz="4"/>
          <w:insideV w:val="single" w:color="auto" w:sz="4"/>
        </w:tblBorders>
      </w:tblPr>
      <w:tblGrid>
        <w:gridCol w:w="700"/>
        <w:gridCol w:w="1700"/>
        <w:gridCol w:w="2600"/>
        <w:gridCol w:w="2900"/>
        <w:gridCol w:w="1300"/>
      </w:tblGrid>
      <w:tr>
        <w:trPr>
          <w:tblHeader/>
        </w:trPr>
        <w:tc>
          <w:tcPr>
            <w:tcW w:type="dxa" w:w="700"/>
            <w:shd w:fill="1F3864" w:val="clear"/>
            <w:tcMar>
              <w:top w:type="dxa" w:w="80"/>
              <w:left w:type="dxa" w:w="100"/>
              <w:bottom w:type="dxa" w:w="80"/>
              <w:right w:type="dxa" w:w="100"/>
            </w:tcMar>
            <w:vAlign w:val="center"/>
          </w:tcPr>
          <w:p>
            <w:r>
              <w:rPr>
                <w:b/>
                <w:bCs/>
                <w:color w:val="FFFFFF"/>
                <w:sz w:val="18"/>
                <w:szCs w:val="18"/>
              </w:rPr>
              <w:t xml:space="preserve">ID</w:t>
            </w:r>
          </w:p>
        </w:tc>
        <w:tc>
          <w:tcPr>
            <w:tcW w:type="dxa" w:w="1700"/>
            <w:shd w:fill="1F3864" w:val="clear"/>
            <w:tcMar>
              <w:top w:type="dxa" w:w="80"/>
              <w:left w:type="dxa" w:w="100"/>
              <w:bottom w:type="dxa" w:w="80"/>
              <w:right w:type="dxa" w:w="100"/>
            </w:tcMar>
            <w:vAlign w:val="center"/>
          </w:tcPr>
          <w:p>
            <w:r>
              <w:rPr>
                <w:b/>
                <w:bCs/>
                <w:color w:val="FFFFFF"/>
                <w:sz w:val="18"/>
                <w:szCs w:val="18"/>
              </w:rPr>
              <w:t xml:space="preserve">Dimension</w:t>
            </w:r>
          </w:p>
        </w:tc>
        <w:tc>
          <w:tcPr>
            <w:tcW w:type="dxa" w:w="2600"/>
            <w:shd w:fill="1F3864" w:val="clear"/>
            <w:tcMar>
              <w:top w:type="dxa" w:w="80"/>
              <w:left w:type="dxa" w:w="100"/>
              <w:bottom w:type="dxa" w:w="80"/>
              <w:right w:type="dxa" w:w="100"/>
            </w:tcMar>
            <w:vAlign w:val="center"/>
          </w:tcPr>
          <w:p>
            <w:r>
              <w:rPr>
                <w:b/>
                <w:bCs/>
                <w:color w:val="FFFFFF"/>
                <w:sz w:val="18"/>
                <w:szCs w:val="18"/>
              </w:rPr>
              <w:t xml:space="preserve">Current State</w:t>
            </w:r>
          </w:p>
        </w:tc>
        <w:tc>
          <w:tcPr>
            <w:tcW w:type="dxa" w:w="2900"/>
            <w:shd w:fill="1F3864" w:val="clear"/>
            <w:tcMar>
              <w:top w:type="dxa" w:w="80"/>
              <w:left w:type="dxa" w:w="100"/>
              <w:bottom w:type="dxa" w:w="80"/>
              <w:right w:type="dxa" w:w="100"/>
            </w:tcMar>
            <w:vAlign w:val="center"/>
          </w:tcPr>
          <w:p>
            <w:r>
              <w:rPr>
                <w:b/>
                <w:bCs/>
                <w:color w:val="FFFFFF"/>
                <w:sz w:val="18"/>
                <w:szCs w:val="18"/>
              </w:rPr>
              <w:t xml:space="preserve">Desired Future State</w:t>
            </w:r>
          </w:p>
        </w:tc>
        <w:tc>
          <w:tcPr>
            <w:tcW w:type="dxa" w:w="1300"/>
            <w:shd w:fill="1F3864" w:val="clear"/>
            <w:tcMar>
              <w:top w:type="dxa" w:w="80"/>
              <w:left w:type="dxa" w:w="100"/>
              <w:bottom w:type="dxa" w:w="80"/>
              <w:right w:type="dxa" w:w="100"/>
            </w:tcMar>
            <w:vAlign w:val="center"/>
          </w:tcPr>
          <w:p>
            <w:r>
              <w:rPr>
                <w:b/>
                <w:bCs/>
                <w:color w:val="FFFFFF"/>
                <w:sz w:val="18"/>
                <w:szCs w:val="18"/>
              </w:rPr>
              <w:t xml:space="preserve">Priority</w:t>
            </w:r>
          </w:p>
        </w:tc>
      </w:tr>
      <w:tr>
        <w:tc>
          <w:tcPr>
            <w:tcW w:type="dxa" w:w="700"/>
            <w:tcMar>
              <w:top w:type="dxa" w:w="80"/>
              <w:left w:type="dxa" w:w="100"/>
              <w:bottom w:type="dxa" w:w="80"/>
              <w:right w:type="dxa" w:w="100"/>
            </w:tcMar>
            <w:vAlign w:val="center"/>
          </w:tcPr>
          <w:p>
            <w:r>
              <w:rPr>
                <w:sz w:val="18"/>
                <w:szCs w:val="18"/>
              </w:rPr>
              <w:t xml:space="preserve">GAP-S1</w:t>
            </w:r>
          </w:p>
        </w:tc>
        <w:tc>
          <w:tcPr>
            <w:tcW w:type="dxa" w:w="1700"/>
            <w:tcMar>
              <w:top w:type="dxa" w:w="80"/>
              <w:left w:type="dxa" w:w="100"/>
              <w:bottom w:type="dxa" w:w="80"/>
              <w:right w:type="dxa" w:w="100"/>
            </w:tcMar>
            <w:vAlign w:val="center"/>
          </w:tcPr>
          <w:p>
            <w:r>
              <w:rPr>
                <w:sz w:val="18"/>
                <w:szCs w:val="18"/>
              </w:rPr>
              <w:t xml:space="preserve">Unique Value Proposition</w:t>
            </w:r>
          </w:p>
        </w:tc>
        <w:tc>
          <w:tcPr>
            <w:tcW w:type="dxa" w:w="2600"/>
            <w:tcMar>
              <w:top w:type="dxa" w:w="80"/>
              <w:left w:type="dxa" w:w="100"/>
              <w:bottom w:type="dxa" w:w="80"/>
              <w:right w:type="dxa" w:w="100"/>
            </w:tcMar>
            <w:vAlign w:val="center"/>
          </w:tcPr>
          <w:p>
            <w:r>
              <w:rPr>
                <w:sz w:val="18"/>
                <w:szCs w:val="18"/>
              </w:rPr>
              <w:t xml:space="preserve">No documented, research-based UVP exists.</w:t>
            </w:r>
          </w:p>
        </w:tc>
        <w:tc>
          <w:tcPr>
            <w:tcW w:type="dxa" w:w="2900"/>
            <w:tcMar>
              <w:top w:type="dxa" w:w="80"/>
              <w:left w:type="dxa" w:w="100"/>
              <w:bottom w:type="dxa" w:w="80"/>
              <w:right w:type="dxa" w:w="100"/>
            </w:tcMar>
            <w:vAlign w:val="center"/>
          </w:tcPr>
          <w:p>
            <w:r>
              <w:rPr>
                <w:sz w:val="18"/>
                <w:szCs w:val="18"/>
              </w:rPr>
              <w:t xml:space="preserve">Clearly defined UVP differentiating preventive, outcome-based care from spa/self-care apps.</w:t>
            </w:r>
          </w:p>
        </w:tc>
        <w:tc>
          <w:tcPr>
            <w:tcW w:type="dxa" w:w="1300"/>
            <w:shd w:fill="FCE4E4" w:val="clear"/>
            <w:tcMar>
              <w:top w:type="dxa" w:w="80"/>
              <w:left w:type="dxa" w:w="100"/>
              <w:bottom w:type="dxa" w:w="80"/>
              <w:right w:type="dxa" w:w="100"/>
            </w:tcMar>
            <w:vAlign w:val="center"/>
          </w:tcPr>
          <w:p>
            <w:r>
              <w:rPr>
                <w:sz w:val="18"/>
                <w:szCs w:val="18"/>
              </w:rPr>
              <w:t xml:space="preserve">High</w:t>
            </w:r>
          </w:p>
        </w:tc>
      </w:tr>
      <w:tr>
        <w:tc>
          <w:tcPr>
            <w:tcW w:type="dxa" w:w="700"/>
            <w:tcMar>
              <w:top w:type="dxa" w:w="80"/>
              <w:left w:type="dxa" w:w="100"/>
              <w:bottom w:type="dxa" w:w="80"/>
              <w:right w:type="dxa" w:w="100"/>
            </w:tcMar>
            <w:vAlign w:val="center"/>
          </w:tcPr>
          <w:p>
            <w:r>
              <w:rPr>
                <w:sz w:val="18"/>
                <w:szCs w:val="18"/>
              </w:rPr>
              <w:t xml:space="preserve">GAP-S2</w:t>
            </w:r>
          </w:p>
        </w:tc>
        <w:tc>
          <w:tcPr>
            <w:tcW w:type="dxa" w:w="1700"/>
            <w:tcMar>
              <w:top w:type="dxa" w:w="80"/>
              <w:left w:type="dxa" w:w="100"/>
              <w:bottom w:type="dxa" w:w="80"/>
              <w:right w:type="dxa" w:w="100"/>
            </w:tcMar>
            <w:vAlign w:val="center"/>
          </w:tcPr>
          <w:p>
            <w:r>
              <w:rPr>
                <w:sz w:val="18"/>
                <w:szCs w:val="18"/>
              </w:rPr>
              <w:t xml:space="preserve">Brand positioning guide</w:t>
            </w:r>
          </w:p>
        </w:tc>
        <w:tc>
          <w:tcPr>
            <w:tcW w:type="dxa" w:w="2600"/>
            <w:tcMar>
              <w:top w:type="dxa" w:w="80"/>
              <w:left w:type="dxa" w:w="100"/>
              <w:bottom w:type="dxa" w:w="80"/>
              <w:right w:type="dxa" w:w="100"/>
            </w:tcMar>
            <w:vAlign w:val="center"/>
          </w:tcPr>
          <w:p>
            <w:r>
              <w:rPr>
                <w:sz w:val="18"/>
                <w:szCs w:val="18"/>
              </w:rPr>
              <w:t xml:space="preserve">No formal brand guide exists.</w:t>
            </w:r>
          </w:p>
        </w:tc>
        <w:tc>
          <w:tcPr>
            <w:tcW w:type="dxa" w:w="2900"/>
            <w:tcMar>
              <w:top w:type="dxa" w:w="80"/>
              <w:left w:type="dxa" w:w="100"/>
              <w:bottom w:type="dxa" w:w="80"/>
              <w:right w:type="dxa" w:w="100"/>
            </w:tcMar>
            <w:vAlign w:val="center"/>
          </w:tcPr>
          <w:p>
            <w:r>
              <w:rPr>
                <w:sz w:val="18"/>
                <w:szCs w:val="18"/>
              </w:rPr>
              <w:t xml:space="preserve">Documented positioning guide applied consistently across all channels.</w:t>
            </w:r>
          </w:p>
        </w:tc>
        <w:tc>
          <w:tcPr>
            <w:tcW w:type="dxa" w:w="1300"/>
            <w:shd w:fill="FCE4E4" w:val="clear"/>
            <w:tcMar>
              <w:top w:type="dxa" w:w="80"/>
              <w:left w:type="dxa" w:w="100"/>
              <w:bottom w:type="dxa" w:w="80"/>
              <w:right w:type="dxa" w:w="100"/>
            </w:tcMar>
            <w:vAlign w:val="center"/>
          </w:tcPr>
          <w:p>
            <w:r>
              <w:rPr>
                <w:sz w:val="18"/>
                <w:szCs w:val="18"/>
              </w:rPr>
              <w:t xml:space="preserve">High</w:t>
            </w:r>
          </w:p>
        </w:tc>
      </w:tr>
      <w:tr>
        <w:tc>
          <w:tcPr>
            <w:tcW w:type="dxa" w:w="700"/>
            <w:tcMar>
              <w:top w:type="dxa" w:w="80"/>
              <w:left w:type="dxa" w:w="100"/>
              <w:bottom w:type="dxa" w:w="80"/>
              <w:right w:type="dxa" w:w="100"/>
            </w:tcMar>
            <w:vAlign w:val="center"/>
          </w:tcPr>
          <w:p>
            <w:r>
              <w:rPr>
                <w:sz w:val="18"/>
                <w:szCs w:val="18"/>
              </w:rPr>
              <w:t xml:space="preserve">GAP-S3</w:t>
            </w:r>
          </w:p>
        </w:tc>
        <w:tc>
          <w:tcPr>
            <w:tcW w:type="dxa" w:w="1700"/>
            <w:tcMar>
              <w:top w:type="dxa" w:w="80"/>
              <w:left w:type="dxa" w:w="100"/>
              <w:bottom w:type="dxa" w:w="80"/>
              <w:right w:type="dxa" w:w="100"/>
            </w:tcMar>
            <w:vAlign w:val="center"/>
          </w:tcPr>
          <w:p>
            <w:r>
              <w:rPr>
                <w:sz w:val="18"/>
                <w:szCs w:val="18"/>
              </w:rPr>
              <w:t xml:space="preserve">Audience-specific messaging</w:t>
            </w:r>
          </w:p>
        </w:tc>
        <w:tc>
          <w:tcPr>
            <w:tcW w:type="dxa" w:w="2600"/>
            <w:tcMar>
              <w:top w:type="dxa" w:w="80"/>
              <w:left w:type="dxa" w:w="100"/>
              <w:bottom w:type="dxa" w:w="80"/>
              <w:right w:type="dxa" w:w="100"/>
            </w:tcMar>
            <w:vAlign w:val="center"/>
          </w:tcPr>
          <w:p>
            <w:r>
              <w:rPr>
                <w:sz w:val="18"/>
                <w:szCs w:val="18"/>
              </w:rPr>
              <w:t xml:space="preserve">Messaging is generic; not built around survey-identified motivations.</w:t>
            </w:r>
          </w:p>
        </w:tc>
        <w:tc>
          <w:tcPr>
            <w:tcW w:type="dxa" w:w="2900"/>
            <w:tcMar>
              <w:top w:type="dxa" w:w="80"/>
              <w:left w:type="dxa" w:w="100"/>
              <w:bottom w:type="dxa" w:w="80"/>
              <w:right w:type="dxa" w:w="100"/>
            </w:tcMar>
            <w:vAlign w:val="center"/>
          </w:tcPr>
          <w:p>
            <w:r>
              <w:rPr>
                <w:sz w:val="18"/>
                <w:szCs w:val="18"/>
              </w:rPr>
              <w:t xml:space="preserve">Messaging pillars organized around stress relief, sleep, and energy.</w:t>
            </w:r>
          </w:p>
        </w:tc>
        <w:tc>
          <w:tcPr>
            <w:tcW w:type="dxa" w:w="1300"/>
            <w:shd w:fill="FCE4E4" w:val="clear"/>
            <w:tcMar>
              <w:top w:type="dxa" w:w="80"/>
              <w:left w:type="dxa" w:w="100"/>
              <w:bottom w:type="dxa" w:w="80"/>
              <w:right w:type="dxa" w:w="100"/>
            </w:tcMar>
            <w:vAlign w:val="center"/>
          </w:tcPr>
          <w:p>
            <w:r>
              <w:rPr>
                <w:sz w:val="18"/>
                <w:szCs w:val="18"/>
              </w:rPr>
              <w:t xml:space="preserve">High</w:t>
            </w:r>
          </w:p>
        </w:tc>
      </w:tr>
      <w:tr>
        <w:tc>
          <w:tcPr>
            <w:tcW w:type="dxa" w:w="700"/>
            <w:tcMar>
              <w:top w:type="dxa" w:w="80"/>
              <w:left w:type="dxa" w:w="100"/>
              <w:bottom w:type="dxa" w:w="80"/>
              <w:right w:type="dxa" w:w="100"/>
            </w:tcMar>
            <w:vAlign w:val="center"/>
          </w:tcPr>
          <w:p>
            <w:r>
              <w:rPr>
                <w:sz w:val="18"/>
                <w:szCs w:val="18"/>
              </w:rPr>
              <w:t xml:space="preserve">GAP-S4</w:t>
            </w:r>
          </w:p>
        </w:tc>
        <w:tc>
          <w:tcPr>
            <w:tcW w:type="dxa" w:w="1700"/>
            <w:tcMar>
              <w:top w:type="dxa" w:w="80"/>
              <w:left w:type="dxa" w:w="100"/>
              <w:bottom w:type="dxa" w:w="80"/>
              <w:right w:type="dxa" w:w="100"/>
            </w:tcMar>
            <w:vAlign w:val="center"/>
          </w:tcPr>
          <w:p>
            <w:r>
              <w:rPr>
                <w:sz w:val="18"/>
                <w:szCs w:val="18"/>
              </w:rPr>
              <w:t xml:space="preserve">Competitive intelligence</w:t>
            </w:r>
          </w:p>
        </w:tc>
        <w:tc>
          <w:tcPr>
            <w:tcW w:type="dxa" w:w="2600"/>
            <w:tcMar>
              <w:top w:type="dxa" w:w="80"/>
              <w:left w:type="dxa" w:w="100"/>
              <w:bottom w:type="dxa" w:w="80"/>
              <w:right w:type="dxa" w:w="100"/>
            </w:tcMar>
            <w:vAlign w:val="center"/>
          </w:tcPr>
          <w:p>
            <w:r>
              <w:rPr>
                <w:sz w:val="18"/>
                <w:szCs w:val="18"/>
              </w:rPr>
              <w:t xml:space="preserve">Competitor positioning not formally documented.</w:t>
            </w:r>
          </w:p>
        </w:tc>
        <w:tc>
          <w:tcPr>
            <w:tcW w:type="dxa" w:w="2900"/>
            <w:tcMar>
              <w:top w:type="dxa" w:w="80"/>
              <w:left w:type="dxa" w:w="100"/>
              <w:bottom w:type="dxa" w:w="80"/>
              <w:right w:type="dxa" w:w="100"/>
            </w:tcMar>
            <w:vAlign w:val="center"/>
          </w:tcPr>
          <w:p>
            <w:r>
              <w:rPr>
                <w:sz w:val="18"/>
                <w:szCs w:val="18"/>
              </w:rPr>
              <w:t xml:space="preserve">Documented audit of 3–5 direct competitors' positioning and pricing.</w:t>
            </w:r>
          </w:p>
        </w:tc>
        <w:tc>
          <w:tcPr>
            <w:tcW w:type="dxa" w:w="1300"/>
            <w:shd w:fill="FFF3CD" w:val="clear"/>
            <w:tcMar>
              <w:top w:type="dxa" w:w="80"/>
              <w:left w:type="dxa" w:w="100"/>
              <w:bottom w:type="dxa" w:w="80"/>
              <w:right w:type="dxa" w:w="100"/>
            </w:tcMar>
            <w:vAlign w:val="center"/>
          </w:tcPr>
          <w:p>
            <w:r>
              <w:rPr>
                <w:sz w:val="18"/>
                <w:szCs w:val="18"/>
              </w:rPr>
              <w:t xml:space="preserve">Medium</w:t>
            </w:r>
          </w:p>
        </w:tc>
      </w:tr>
      <w:tr>
        <w:tc>
          <w:tcPr>
            <w:tcW w:type="dxa" w:w="700"/>
            <w:tcMar>
              <w:top w:type="dxa" w:w="80"/>
              <w:left w:type="dxa" w:w="100"/>
              <w:bottom w:type="dxa" w:w="80"/>
              <w:right w:type="dxa" w:w="100"/>
            </w:tcMar>
            <w:vAlign w:val="center"/>
          </w:tcPr>
          <w:p>
            <w:r>
              <w:rPr>
                <w:sz w:val="18"/>
                <w:szCs w:val="18"/>
              </w:rPr>
              <w:t xml:space="preserve">GAP-S5</w:t>
            </w:r>
          </w:p>
        </w:tc>
        <w:tc>
          <w:tcPr>
            <w:tcW w:type="dxa" w:w="1700"/>
            <w:tcMar>
              <w:top w:type="dxa" w:w="80"/>
              <w:left w:type="dxa" w:w="100"/>
              <w:bottom w:type="dxa" w:w="80"/>
              <w:right w:type="dxa" w:w="100"/>
            </w:tcMar>
            <w:vAlign w:val="center"/>
          </w:tcPr>
          <w:p>
            <w:r>
              <w:rPr>
                <w:sz w:val="18"/>
                <w:szCs w:val="18"/>
              </w:rPr>
              <w:t xml:space="preserve">Pricing &amp; package tiers</w:t>
            </w:r>
          </w:p>
        </w:tc>
        <w:tc>
          <w:tcPr>
            <w:tcW w:type="dxa" w:w="2600"/>
            <w:tcMar>
              <w:top w:type="dxa" w:w="80"/>
              <w:left w:type="dxa" w:w="100"/>
              <w:bottom w:type="dxa" w:w="80"/>
              <w:right w:type="dxa" w:w="100"/>
            </w:tcMar>
            <w:vAlign w:val="center"/>
          </w:tcPr>
          <w:p>
            <w:r>
              <w:rPr>
                <w:sz w:val="18"/>
                <w:szCs w:val="18"/>
              </w:rPr>
              <w:t xml:space="preserve">No tiered pricing; cost handled ad hoc per client.</w:t>
            </w:r>
          </w:p>
        </w:tc>
        <w:tc>
          <w:tcPr>
            <w:tcW w:type="dxa" w:w="2900"/>
            <w:tcMar>
              <w:top w:type="dxa" w:w="80"/>
              <w:left w:type="dxa" w:w="100"/>
              <w:bottom w:type="dxa" w:w="80"/>
              <w:right w:type="dxa" w:w="100"/>
            </w:tcMar>
            <w:vAlign w:val="center"/>
          </w:tcPr>
          <w:p>
            <w:r>
              <w:rPr>
                <w:sz w:val="18"/>
                <w:szCs w:val="18"/>
              </w:rPr>
              <w:t xml:space="preserve">2–3 defined tiers addressing the cost and time barriers identified in the survey.</w:t>
            </w:r>
          </w:p>
        </w:tc>
        <w:tc>
          <w:tcPr>
            <w:tcW w:type="dxa" w:w="1300"/>
            <w:shd w:fill="FFF3CD" w:val="clear"/>
            <w:tcMar>
              <w:top w:type="dxa" w:w="80"/>
              <w:left w:type="dxa" w:w="100"/>
              <w:bottom w:type="dxa" w:w="80"/>
              <w:right w:type="dxa" w:w="100"/>
            </w:tcMar>
            <w:vAlign w:val="center"/>
          </w:tcPr>
          <w:p>
            <w:r>
              <w:rPr>
                <w:sz w:val="18"/>
                <w:szCs w:val="18"/>
              </w:rPr>
              <w:t xml:space="preserve">Medium</w:t>
            </w:r>
          </w:p>
        </w:tc>
      </w:tr>
    </w:tbl>
    <w:p>
      <w:pPr>
        <w:spacing w:after="160"/>
      </w:pPr>
      <w:r>
        <w:t xml:space="preserve"> </w:t>
      </w:r>
    </w:p>
    <w:p>
      <w:pPr>
        <w:pStyle w:val="Heading1"/>
        <w:spacing w:after="160" w:before="320"/>
      </w:pPr>
      <w:r>
        <w:rPr>
          <w:b/>
          <w:bCs/>
          <w:color w:val="1F3864"/>
        </w:rPr>
        <w:t xml:space="preserve">4. Process Gaps</w:t>
      </w:r>
    </w:p>
    <w:p>
      <w:pPr>
        <w:spacing w:after="160"/>
      </w:pPr>
      <w:r>
        <w:t xml:space="preserve">Condensed from the 14-process inventory in Appendix C. Only processes with a documented gap (i.e., not yet at 'exists and complete') are listed; each links back to its process number for traceability.</w:t>
      </w:r>
    </w:p>
    <w:tbl>
      <w:tblPr>
        <w:tblW w:type="dxa" w:w="9100"/>
        <w:tblBorders>
          <w:top w:val="single" w:color="auto" w:sz="4"/>
          <w:left w:val="single" w:color="auto" w:sz="4"/>
          <w:bottom w:val="single" w:color="auto" w:sz="4"/>
          <w:right w:val="single" w:color="auto" w:sz="4"/>
          <w:insideH w:val="single" w:color="auto" w:sz="4"/>
          <w:insideV w:val="single" w:color="auto" w:sz="4"/>
        </w:tblBorders>
      </w:tblPr>
      <w:tblGrid>
        <w:gridCol w:w="700"/>
        <w:gridCol w:w="2100"/>
        <w:gridCol w:w="2600"/>
        <w:gridCol w:w="2400"/>
        <w:gridCol w:w="1300"/>
      </w:tblGrid>
      <w:tr>
        <w:trPr>
          <w:tblHeader/>
        </w:trPr>
        <w:tc>
          <w:tcPr>
            <w:tcW w:type="dxa" w:w="700"/>
            <w:shd w:fill="1F3864" w:val="clear"/>
            <w:tcMar>
              <w:top w:type="dxa" w:w="80"/>
              <w:left w:type="dxa" w:w="100"/>
              <w:bottom w:type="dxa" w:w="80"/>
              <w:right w:type="dxa" w:w="100"/>
            </w:tcMar>
            <w:vAlign w:val="center"/>
          </w:tcPr>
          <w:p>
            <w:r>
              <w:rPr>
                <w:b/>
                <w:bCs/>
                <w:color w:val="FFFFFF"/>
                <w:sz w:val="18"/>
                <w:szCs w:val="18"/>
              </w:rPr>
              <w:t xml:space="preserve">ID</w:t>
            </w:r>
          </w:p>
        </w:tc>
        <w:tc>
          <w:tcPr>
            <w:tcW w:type="dxa" w:w="2100"/>
            <w:shd w:fill="1F3864" w:val="clear"/>
            <w:tcMar>
              <w:top w:type="dxa" w:w="80"/>
              <w:left w:type="dxa" w:w="100"/>
              <w:bottom w:type="dxa" w:w="80"/>
              <w:right w:type="dxa" w:w="100"/>
            </w:tcMar>
            <w:vAlign w:val="center"/>
          </w:tcPr>
          <w:p>
            <w:r>
              <w:rPr>
                <w:b/>
                <w:bCs/>
                <w:color w:val="FFFFFF"/>
                <w:sz w:val="18"/>
                <w:szCs w:val="18"/>
              </w:rPr>
              <w:t xml:space="preserve">Process (Appx. C #)</w:t>
            </w:r>
          </w:p>
        </w:tc>
        <w:tc>
          <w:tcPr>
            <w:tcW w:type="dxa" w:w="2600"/>
            <w:shd w:fill="1F3864" w:val="clear"/>
            <w:tcMar>
              <w:top w:type="dxa" w:w="80"/>
              <w:left w:type="dxa" w:w="100"/>
              <w:bottom w:type="dxa" w:w="80"/>
              <w:right w:type="dxa" w:w="100"/>
            </w:tcMar>
            <w:vAlign w:val="center"/>
          </w:tcPr>
          <w:p>
            <w:r>
              <w:rPr>
                <w:b/>
                <w:bCs/>
                <w:color w:val="FFFFFF"/>
                <w:sz w:val="18"/>
                <w:szCs w:val="18"/>
              </w:rPr>
              <w:t xml:space="preserve">Current State</w:t>
            </w:r>
          </w:p>
        </w:tc>
        <w:tc>
          <w:tcPr>
            <w:tcW w:type="dxa" w:w="2400"/>
            <w:shd w:fill="1F3864" w:val="clear"/>
            <w:tcMar>
              <w:top w:type="dxa" w:w="80"/>
              <w:left w:type="dxa" w:w="100"/>
              <w:bottom w:type="dxa" w:w="80"/>
              <w:right w:type="dxa" w:w="100"/>
            </w:tcMar>
            <w:vAlign w:val="center"/>
          </w:tcPr>
          <w:p>
            <w:r>
              <w:rPr>
                <w:b/>
                <w:bCs/>
                <w:color w:val="FFFFFF"/>
                <w:sz w:val="18"/>
                <w:szCs w:val="18"/>
              </w:rPr>
              <w:t xml:space="preserve">Desired State</w:t>
            </w:r>
          </w:p>
        </w:tc>
        <w:tc>
          <w:tcPr>
            <w:tcW w:type="dxa" w:w="1300"/>
            <w:shd w:fill="1F3864" w:val="clear"/>
            <w:tcMar>
              <w:top w:type="dxa" w:w="80"/>
              <w:left w:type="dxa" w:w="100"/>
              <w:bottom w:type="dxa" w:w="80"/>
              <w:right w:type="dxa" w:w="100"/>
            </w:tcMar>
            <w:vAlign w:val="center"/>
          </w:tcPr>
          <w:p>
            <w:r>
              <w:rPr>
                <w:b/>
                <w:bCs/>
                <w:color w:val="FFFFFF"/>
                <w:sz w:val="18"/>
                <w:szCs w:val="18"/>
              </w:rPr>
              <w:t xml:space="preserve">Priority</w:t>
            </w:r>
          </w:p>
        </w:tc>
      </w:tr>
      <w:tr>
        <w:tc>
          <w:tcPr>
            <w:tcW w:type="dxa" w:w="700"/>
            <w:tcMar>
              <w:top w:type="dxa" w:w="80"/>
              <w:left w:type="dxa" w:w="100"/>
              <w:bottom w:type="dxa" w:w="80"/>
              <w:right w:type="dxa" w:w="100"/>
            </w:tcMar>
            <w:vAlign w:val="center"/>
          </w:tcPr>
          <w:p>
            <w:r>
              <w:rPr>
                <w:sz w:val="18"/>
                <w:szCs w:val="18"/>
              </w:rPr>
              <w:t xml:space="preserve">GAP-P1</w:t>
            </w:r>
          </w:p>
        </w:tc>
        <w:tc>
          <w:tcPr>
            <w:tcW w:type="dxa" w:w="2100"/>
            <w:tcMar>
              <w:top w:type="dxa" w:w="80"/>
              <w:left w:type="dxa" w:w="100"/>
              <w:bottom w:type="dxa" w:w="80"/>
              <w:right w:type="dxa" w:w="100"/>
            </w:tcMar>
            <w:vAlign w:val="center"/>
          </w:tcPr>
          <w:p>
            <w:r>
              <w:rPr>
                <w:sz w:val="18"/>
                <w:szCs w:val="18"/>
              </w:rPr>
              <w:t xml:space="preserve">UVP development (#3)</w:t>
            </w:r>
          </w:p>
        </w:tc>
        <w:tc>
          <w:tcPr>
            <w:tcW w:type="dxa" w:w="2600"/>
            <w:tcMar>
              <w:top w:type="dxa" w:w="80"/>
              <w:left w:type="dxa" w:w="100"/>
              <w:bottom w:type="dxa" w:w="80"/>
              <w:right w:type="dxa" w:w="100"/>
            </w:tcMar>
            <w:vAlign w:val="center"/>
          </w:tcPr>
          <w:p>
            <w:r>
              <w:rPr>
                <w:sz w:val="18"/>
                <w:szCs w:val="18"/>
              </w:rPr>
              <w:t xml:space="preserve">Missing entirely.</w:t>
            </w:r>
          </w:p>
        </w:tc>
        <w:tc>
          <w:tcPr>
            <w:tcW w:type="dxa" w:w="2400"/>
            <w:tcMar>
              <w:top w:type="dxa" w:w="80"/>
              <w:left w:type="dxa" w:w="100"/>
              <w:bottom w:type="dxa" w:w="80"/>
              <w:right w:type="dxa" w:w="100"/>
            </w:tcMar>
            <w:vAlign w:val="center"/>
          </w:tcPr>
          <w:p>
            <w:r>
              <w:rPr>
                <w:sz w:val="18"/>
                <w:szCs w:val="18"/>
              </w:rPr>
              <w:t xml:space="preserve">UVP drafted from survey insights and tested with clients.</w:t>
            </w:r>
          </w:p>
        </w:tc>
        <w:tc>
          <w:tcPr>
            <w:tcW w:type="dxa" w:w="1300"/>
            <w:shd w:fill="FCE4E4" w:val="clear"/>
            <w:tcMar>
              <w:top w:type="dxa" w:w="80"/>
              <w:left w:type="dxa" w:w="100"/>
              <w:bottom w:type="dxa" w:w="80"/>
              <w:right w:type="dxa" w:w="100"/>
            </w:tcMar>
            <w:vAlign w:val="center"/>
          </w:tcPr>
          <w:p>
            <w:r>
              <w:rPr>
                <w:sz w:val="18"/>
                <w:szCs w:val="18"/>
              </w:rPr>
              <w:t xml:space="preserve">High</w:t>
            </w:r>
          </w:p>
        </w:tc>
      </w:tr>
      <w:tr>
        <w:tc>
          <w:tcPr>
            <w:tcW w:type="dxa" w:w="700"/>
            <w:tcMar>
              <w:top w:type="dxa" w:w="80"/>
              <w:left w:type="dxa" w:w="100"/>
              <w:bottom w:type="dxa" w:w="80"/>
              <w:right w:type="dxa" w:w="100"/>
            </w:tcMar>
            <w:vAlign w:val="center"/>
          </w:tcPr>
          <w:p>
            <w:r>
              <w:rPr>
                <w:sz w:val="18"/>
                <w:szCs w:val="18"/>
              </w:rPr>
              <w:t xml:space="preserve">GAP-P2</w:t>
            </w:r>
          </w:p>
        </w:tc>
        <w:tc>
          <w:tcPr>
            <w:tcW w:type="dxa" w:w="2100"/>
            <w:tcMar>
              <w:top w:type="dxa" w:w="80"/>
              <w:left w:type="dxa" w:w="100"/>
              <w:bottom w:type="dxa" w:w="80"/>
              <w:right w:type="dxa" w:w="100"/>
            </w:tcMar>
            <w:vAlign w:val="center"/>
          </w:tcPr>
          <w:p>
            <w:r>
              <w:rPr>
                <w:sz w:val="18"/>
                <w:szCs w:val="18"/>
              </w:rPr>
              <w:t xml:space="preserve">Brand positioning &amp; guidelines (#4)</w:t>
            </w:r>
          </w:p>
        </w:tc>
        <w:tc>
          <w:tcPr>
            <w:tcW w:type="dxa" w:w="2600"/>
            <w:tcMar>
              <w:top w:type="dxa" w:w="80"/>
              <w:left w:type="dxa" w:w="100"/>
              <w:bottom w:type="dxa" w:w="80"/>
              <w:right w:type="dxa" w:w="100"/>
            </w:tcMar>
            <w:vAlign w:val="center"/>
          </w:tcPr>
          <w:p>
            <w:r>
              <w:rPr>
                <w:sz w:val="18"/>
                <w:szCs w:val="18"/>
              </w:rPr>
              <w:t xml:space="preserve">Missing — no brand guide.</w:t>
            </w:r>
          </w:p>
        </w:tc>
        <w:tc>
          <w:tcPr>
            <w:tcW w:type="dxa" w:w="2400"/>
            <w:tcMar>
              <w:top w:type="dxa" w:w="80"/>
              <w:left w:type="dxa" w:w="100"/>
              <w:bottom w:type="dxa" w:w="80"/>
              <w:right w:type="dxa" w:w="100"/>
            </w:tcMar>
            <w:vAlign w:val="center"/>
          </w:tcPr>
          <w:p>
            <w:r>
              <w:rPr>
                <w:sz w:val="18"/>
                <w:szCs w:val="18"/>
              </w:rPr>
              <w:t xml:space="preserve">Brand guide created once UVP is finalized.</w:t>
            </w:r>
          </w:p>
        </w:tc>
        <w:tc>
          <w:tcPr>
            <w:tcW w:type="dxa" w:w="1300"/>
            <w:shd w:fill="FCE4E4" w:val="clear"/>
            <w:tcMar>
              <w:top w:type="dxa" w:w="80"/>
              <w:left w:type="dxa" w:w="100"/>
              <w:bottom w:type="dxa" w:w="80"/>
              <w:right w:type="dxa" w:w="100"/>
            </w:tcMar>
            <w:vAlign w:val="center"/>
          </w:tcPr>
          <w:p>
            <w:r>
              <w:rPr>
                <w:sz w:val="18"/>
                <w:szCs w:val="18"/>
              </w:rPr>
              <w:t xml:space="preserve">High</w:t>
            </w:r>
          </w:p>
        </w:tc>
      </w:tr>
      <w:tr>
        <w:tc>
          <w:tcPr>
            <w:tcW w:type="dxa" w:w="700"/>
            <w:tcMar>
              <w:top w:type="dxa" w:w="80"/>
              <w:left w:type="dxa" w:w="100"/>
              <w:bottom w:type="dxa" w:w="80"/>
              <w:right w:type="dxa" w:w="100"/>
            </w:tcMar>
            <w:vAlign w:val="center"/>
          </w:tcPr>
          <w:p>
            <w:r>
              <w:rPr>
                <w:sz w:val="18"/>
                <w:szCs w:val="18"/>
              </w:rPr>
              <w:t xml:space="preserve">GAP-P3</w:t>
            </w:r>
          </w:p>
        </w:tc>
        <w:tc>
          <w:tcPr>
            <w:tcW w:type="dxa" w:w="2100"/>
            <w:tcMar>
              <w:top w:type="dxa" w:w="80"/>
              <w:left w:type="dxa" w:w="100"/>
              <w:bottom w:type="dxa" w:w="80"/>
              <w:right w:type="dxa" w:w="100"/>
            </w:tcMar>
            <w:vAlign w:val="center"/>
          </w:tcPr>
          <w:p>
            <w:r>
              <w:rPr>
                <w:sz w:val="18"/>
                <w:szCs w:val="18"/>
              </w:rPr>
              <w:t xml:space="preserve">Messaging framework (#5)</w:t>
            </w:r>
          </w:p>
        </w:tc>
        <w:tc>
          <w:tcPr>
            <w:tcW w:type="dxa" w:w="2600"/>
            <w:tcMar>
              <w:top w:type="dxa" w:w="80"/>
              <w:left w:type="dxa" w:w="100"/>
              <w:bottom w:type="dxa" w:w="80"/>
              <w:right w:type="dxa" w:w="100"/>
            </w:tcMar>
            <w:vAlign w:val="center"/>
          </w:tcPr>
          <w:p>
            <w:r>
              <w:rPr>
                <w:sz w:val="18"/>
                <w:szCs w:val="18"/>
              </w:rPr>
              <w:t xml:space="preserve">Missing — not built around survey motivations.</w:t>
            </w:r>
          </w:p>
        </w:tc>
        <w:tc>
          <w:tcPr>
            <w:tcW w:type="dxa" w:w="2400"/>
            <w:tcMar>
              <w:top w:type="dxa" w:w="80"/>
              <w:left w:type="dxa" w:w="100"/>
              <w:bottom w:type="dxa" w:w="80"/>
              <w:right w:type="dxa" w:w="100"/>
            </w:tcMar>
            <w:vAlign w:val="center"/>
          </w:tcPr>
          <w:p>
            <w:r>
              <w:rPr>
                <w:sz w:val="18"/>
                <w:szCs w:val="18"/>
              </w:rPr>
              <w:t xml:space="preserve">Messaging pillars built around stress, sleep, energy.</w:t>
            </w:r>
          </w:p>
        </w:tc>
        <w:tc>
          <w:tcPr>
            <w:tcW w:type="dxa" w:w="1300"/>
            <w:shd w:fill="FCE4E4" w:val="clear"/>
            <w:tcMar>
              <w:top w:type="dxa" w:w="80"/>
              <w:left w:type="dxa" w:w="100"/>
              <w:bottom w:type="dxa" w:w="80"/>
              <w:right w:type="dxa" w:w="100"/>
            </w:tcMar>
            <w:vAlign w:val="center"/>
          </w:tcPr>
          <w:p>
            <w:r>
              <w:rPr>
                <w:sz w:val="18"/>
                <w:szCs w:val="18"/>
              </w:rPr>
              <w:t xml:space="preserve">High</w:t>
            </w:r>
          </w:p>
        </w:tc>
      </w:tr>
      <w:tr>
        <w:tc>
          <w:tcPr>
            <w:tcW w:type="dxa" w:w="700"/>
            <w:tcMar>
              <w:top w:type="dxa" w:w="80"/>
              <w:left w:type="dxa" w:w="100"/>
              <w:bottom w:type="dxa" w:w="80"/>
              <w:right w:type="dxa" w:w="100"/>
            </w:tcMar>
            <w:vAlign w:val="center"/>
          </w:tcPr>
          <w:p>
            <w:r>
              <w:rPr>
                <w:sz w:val="18"/>
                <w:szCs w:val="18"/>
              </w:rPr>
              <w:t xml:space="preserve">GAP-P4</w:t>
            </w:r>
          </w:p>
        </w:tc>
        <w:tc>
          <w:tcPr>
            <w:tcW w:type="dxa" w:w="2100"/>
            <w:tcMar>
              <w:top w:type="dxa" w:w="80"/>
              <w:left w:type="dxa" w:w="100"/>
              <w:bottom w:type="dxa" w:w="80"/>
              <w:right w:type="dxa" w:w="100"/>
            </w:tcMar>
            <w:vAlign w:val="center"/>
          </w:tcPr>
          <w:p>
            <w:r>
              <w:rPr>
                <w:sz w:val="18"/>
                <w:szCs w:val="18"/>
              </w:rPr>
              <w:t xml:space="preserve">Pricing &amp; package design (#7)</w:t>
            </w:r>
          </w:p>
        </w:tc>
        <w:tc>
          <w:tcPr>
            <w:tcW w:type="dxa" w:w="2600"/>
            <w:tcMar>
              <w:top w:type="dxa" w:w="80"/>
              <w:left w:type="dxa" w:w="100"/>
              <w:bottom w:type="dxa" w:w="80"/>
              <w:right w:type="dxa" w:w="100"/>
            </w:tcMar>
            <w:vAlign w:val="center"/>
          </w:tcPr>
          <w:p>
            <w:r>
              <w:rPr>
                <w:sz w:val="18"/>
                <w:szCs w:val="18"/>
              </w:rPr>
              <w:t xml:space="preserve">Missing — no tiers addressing cost barrier.</w:t>
            </w:r>
          </w:p>
        </w:tc>
        <w:tc>
          <w:tcPr>
            <w:tcW w:type="dxa" w:w="2400"/>
            <w:tcMar>
              <w:top w:type="dxa" w:w="80"/>
              <w:left w:type="dxa" w:w="100"/>
              <w:bottom w:type="dxa" w:w="80"/>
              <w:right w:type="dxa" w:w="100"/>
            </w:tcMar>
            <w:vAlign w:val="center"/>
          </w:tcPr>
          <w:p>
            <w:r>
              <w:rPr>
                <w:sz w:val="18"/>
                <w:szCs w:val="18"/>
              </w:rPr>
              <w:t xml:space="preserve">2–3 tiered packages addressing cost/time barriers.</w:t>
            </w:r>
          </w:p>
        </w:tc>
        <w:tc>
          <w:tcPr>
            <w:tcW w:type="dxa" w:w="1300"/>
            <w:shd w:fill="FCE4E4" w:val="clear"/>
            <w:tcMar>
              <w:top w:type="dxa" w:w="80"/>
              <w:left w:type="dxa" w:w="100"/>
              <w:bottom w:type="dxa" w:w="80"/>
              <w:right w:type="dxa" w:w="100"/>
            </w:tcMar>
            <w:vAlign w:val="center"/>
          </w:tcPr>
          <w:p>
            <w:r>
              <w:rPr>
                <w:sz w:val="18"/>
                <w:szCs w:val="18"/>
              </w:rPr>
              <w:t xml:space="preserve">High</w:t>
            </w:r>
          </w:p>
        </w:tc>
      </w:tr>
      <w:tr>
        <w:tc>
          <w:tcPr>
            <w:tcW w:type="dxa" w:w="700"/>
            <w:tcMar>
              <w:top w:type="dxa" w:w="80"/>
              <w:left w:type="dxa" w:w="100"/>
              <w:bottom w:type="dxa" w:w="80"/>
              <w:right w:type="dxa" w:w="100"/>
            </w:tcMar>
            <w:vAlign w:val="center"/>
          </w:tcPr>
          <w:p>
            <w:r>
              <w:rPr>
                <w:sz w:val="18"/>
                <w:szCs w:val="18"/>
              </w:rPr>
              <w:t xml:space="preserve">GAP-P5</w:t>
            </w:r>
          </w:p>
        </w:tc>
        <w:tc>
          <w:tcPr>
            <w:tcW w:type="dxa" w:w="2100"/>
            <w:tcMar>
              <w:top w:type="dxa" w:w="80"/>
              <w:left w:type="dxa" w:w="100"/>
              <w:bottom w:type="dxa" w:w="80"/>
              <w:right w:type="dxa" w:w="100"/>
            </w:tcMar>
            <w:vAlign w:val="center"/>
          </w:tcPr>
          <w:p>
            <w:r>
              <w:rPr>
                <w:sz w:val="18"/>
                <w:szCs w:val="18"/>
              </w:rPr>
              <w:t xml:space="preserve">Marketing ownership/staffing (#13)</w:t>
            </w:r>
          </w:p>
        </w:tc>
        <w:tc>
          <w:tcPr>
            <w:tcW w:type="dxa" w:w="2600"/>
            <w:tcMar>
              <w:top w:type="dxa" w:w="80"/>
              <w:left w:type="dxa" w:w="100"/>
              <w:bottom w:type="dxa" w:w="80"/>
              <w:right w:type="dxa" w:w="100"/>
            </w:tcMar>
            <w:vAlign w:val="center"/>
          </w:tcPr>
          <w:p>
            <w:r>
              <w:rPr>
                <w:sz w:val="18"/>
                <w:szCs w:val="18"/>
              </w:rPr>
              <w:t xml:space="preserve">Missing — no dedicated role.</w:t>
            </w:r>
          </w:p>
        </w:tc>
        <w:tc>
          <w:tcPr>
            <w:tcW w:type="dxa" w:w="2400"/>
            <w:tcMar>
              <w:top w:type="dxa" w:w="80"/>
              <w:left w:type="dxa" w:w="100"/>
              <w:bottom w:type="dxa" w:w="80"/>
              <w:right w:type="dxa" w:w="100"/>
            </w:tcMar>
            <w:vAlign w:val="center"/>
          </w:tcPr>
          <w:p>
            <w:r>
              <w:rPr>
                <w:sz w:val="18"/>
                <w:szCs w:val="18"/>
              </w:rPr>
              <w:t xml:space="preserve">Decision made: hire, outsource, or dedicate existing staff time.</w:t>
            </w:r>
          </w:p>
        </w:tc>
        <w:tc>
          <w:tcPr>
            <w:tcW w:type="dxa" w:w="1300"/>
            <w:shd w:fill="FCE4E4" w:val="clear"/>
            <w:tcMar>
              <w:top w:type="dxa" w:w="80"/>
              <w:left w:type="dxa" w:w="100"/>
              <w:bottom w:type="dxa" w:w="80"/>
              <w:right w:type="dxa" w:w="100"/>
            </w:tcMar>
            <w:vAlign w:val="center"/>
          </w:tcPr>
          <w:p>
            <w:r>
              <w:rPr>
                <w:sz w:val="18"/>
                <w:szCs w:val="18"/>
              </w:rPr>
              <w:t xml:space="preserve">High</w:t>
            </w:r>
          </w:p>
        </w:tc>
      </w:tr>
      <w:tr>
        <w:tc>
          <w:tcPr>
            <w:tcW w:type="dxa" w:w="700"/>
            <w:tcMar>
              <w:top w:type="dxa" w:w="80"/>
              <w:left w:type="dxa" w:w="100"/>
              <w:bottom w:type="dxa" w:w="80"/>
              <w:right w:type="dxa" w:w="100"/>
            </w:tcMar>
            <w:vAlign w:val="center"/>
          </w:tcPr>
          <w:p>
            <w:r>
              <w:rPr>
                <w:sz w:val="18"/>
                <w:szCs w:val="18"/>
              </w:rPr>
              <w:t xml:space="preserve">GAP-P6</w:t>
            </w:r>
          </w:p>
        </w:tc>
        <w:tc>
          <w:tcPr>
            <w:tcW w:type="dxa" w:w="2100"/>
            <w:tcMar>
              <w:top w:type="dxa" w:w="80"/>
              <w:left w:type="dxa" w:w="100"/>
              <w:bottom w:type="dxa" w:w="80"/>
              <w:right w:type="dxa" w:w="100"/>
            </w:tcMar>
            <w:vAlign w:val="center"/>
          </w:tcPr>
          <w:p>
            <w:r>
              <w:rPr>
                <w:sz w:val="18"/>
                <w:szCs w:val="18"/>
              </w:rPr>
              <w:t xml:space="preserve">Competitor analysis (#2)</w:t>
            </w:r>
          </w:p>
        </w:tc>
        <w:tc>
          <w:tcPr>
            <w:tcW w:type="dxa" w:w="2600"/>
            <w:tcMar>
              <w:top w:type="dxa" w:w="80"/>
              <w:left w:type="dxa" w:w="100"/>
              <w:bottom w:type="dxa" w:w="80"/>
              <w:right w:type="dxa" w:w="100"/>
            </w:tcMar>
            <w:vAlign w:val="center"/>
          </w:tcPr>
          <w:p>
            <w:r>
              <w:rPr>
                <w:sz w:val="18"/>
                <w:szCs w:val="18"/>
              </w:rPr>
              <w:t xml:space="preserve">Missing/partial — not formally documented.</w:t>
            </w:r>
          </w:p>
        </w:tc>
        <w:tc>
          <w:tcPr>
            <w:tcW w:type="dxa" w:w="2400"/>
            <w:tcMar>
              <w:top w:type="dxa" w:w="80"/>
              <w:left w:type="dxa" w:w="100"/>
              <w:bottom w:type="dxa" w:w="80"/>
              <w:right w:type="dxa" w:w="100"/>
            </w:tcMar>
            <w:vAlign w:val="center"/>
          </w:tcPr>
          <w:p>
            <w:r>
              <w:rPr>
                <w:sz w:val="18"/>
                <w:szCs w:val="18"/>
              </w:rPr>
              <w:t xml:space="preserve">3–5 direct competitors audited for positioning and pricing.</w:t>
            </w:r>
          </w:p>
        </w:tc>
        <w:tc>
          <w:tcPr>
            <w:tcW w:type="dxa" w:w="1300"/>
            <w:shd w:fill="FFF3CD" w:val="clear"/>
            <w:tcMar>
              <w:top w:type="dxa" w:w="80"/>
              <w:left w:type="dxa" w:w="100"/>
              <w:bottom w:type="dxa" w:w="80"/>
              <w:right w:type="dxa" w:w="100"/>
            </w:tcMar>
            <w:vAlign w:val="center"/>
          </w:tcPr>
          <w:p>
            <w:r>
              <w:rPr>
                <w:sz w:val="18"/>
                <w:szCs w:val="18"/>
              </w:rPr>
              <w:t xml:space="preserve">Medium</w:t>
            </w:r>
          </w:p>
        </w:tc>
      </w:tr>
      <w:tr>
        <w:tc>
          <w:tcPr>
            <w:tcW w:type="dxa" w:w="700"/>
            <w:tcMar>
              <w:top w:type="dxa" w:w="80"/>
              <w:left w:type="dxa" w:w="100"/>
              <w:bottom w:type="dxa" w:w="80"/>
              <w:right w:type="dxa" w:w="100"/>
            </w:tcMar>
            <w:vAlign w:val="center"/>
          </w:tcPr>
          <w:p>
            <w:r>
              <w:rPr>
                <w:sz w:val="18"/>
                <w:szCs w:val="18"/>
              </w:rPr>
              <w:t xml:space="preserve">GAP-P7</w:t>
            </w:r>
          </w:p>
        </w:tc>
        <w:tc>
          <w:tcPr>
            <w:tcW w:type="dxa" w:w="2100"/>
            <w:tcMar>
              <w:top w:type="dxa" w:w="80"/>
              <w:left w:type="dxa" w:w="100"/>
              <w:bottom w:type="dxa" w:w="80"/>
              <w:right w:type="dxa" w:w="100"/>
            </w:tcMar>
            <w:vAlign w:val="center"/>
          </w:tcPr>
          <w:p>
            <w:r>
              <w:rPr>
                <w:sz w:val="18"/>
                <w:szCs w:val="18"/>
              </w:rPr>
              <w:t xml:space="preserve">Marketing content creation (#6)</w:t>
            </w:r>
          </w:p>
        </w:tc>
        <w:tc>
          <w:tcPr>
            <w:tcW w:type="dxa" w:w="2600"/>
            <w:tcMar>
              <w:top w:type="dxa" w:w="80"/>
              <w:left w:type="dxa" w:w="100"/>
              <w:bottom w:type="dxa" w:w="80"/>
              <w:right w:type="dxa" w:w="100"/>
            </w:tcMar>
            <w:vAlign w:val="center"/>
          </w:tcPr>
          <w:p>
            <w:r>
              <w:rPr>
                <w:sz w:val="18"/>
                <w:szCs w:val="18"/>
              </w:rPr>
              <w:t xml:space="preserve">Ad hoc/partial — no content plan.</w:t>
            </w:r>
          </w:p>
        </w:tc>
        <w:tc>
          <w:tcPr>
            <w:tcW w:type="dxa" w:w="2400"/>
            <w:tcMar>
              <w:top w:type="dxa" w:w="80"/>
              <w:left w:type="dxa" w:w="100"/>
              <w:bottom w:type="dxa" w:w="80"/>
              <w:right w:type="dxa" w:w="100"/>
            </w:tcMar>
            <w:vAlign w:val="center"/>
          </w:tcPr>
          <w:p>
            <w:r>
              <w:rPr>
                <w:sz w:val="18"/>
                <w:szCs w:val="18"/>
              </w:rPr>
              <w:t xml:space="preserve">Content calendar aligned to the messaging framework.</w:t>
            </w:r>
          </w:p>
        </w:tc>
        <w:tc>
          <w:tcPr>
            <w:tcW w:type="dxa" w:w="1300"/>
            <w:shd w:fill="FFF3CD" w:val="clear"/>
            <w:tcMar>
              <w:top w:type="dxa" w:w="80"/>
              <w:left w:type="dxa" w:w="100"/>
              <w:bottom w:type="dxa" w:w="80"/>
              <w:right w:type="dxa" w:w="100"/>
            </w:tcMar>
            <w:vAlign w:val="center"/>
          </w:tcPr>
          <w:p>
            <w:r>
              <w:rPr>
                <w:sz w:val="18"/>
                <w:szCs w:val="18"/>
              </w:rPr>
              <w:t xml:space="preserve">Medium</w:t>
            </w:r>
          </w:p>
        </w:tc>
      </w:tr>
      <w:tr>
        <w:tc>
          <w:tcPr>
            <w:tcW w:type="dxa" w:w="700"/>
            <w:tcMar>
              <w:top w:type="dxa" w:w="80"/>
              <w:left w:type="dxa" w:w="100"/>
              <w:bottom w:type="dxa" w:w="80"/>
              <w:right w:type="dxa" w:w="100"/>
            </w:tcMar>
            <w:vAlign w:val="center"/>
          </w:tcPr>
          <w:p>
            <w:r>
              <w:rPr>
                <w:sz w:val="18"/>
                <w:szCs w:val="18"/>
              </w:rPr>
              <w:t xml:space="preserve">GAP-P8</w:t>
            </w:r>
          </w:p>
        </w:tc>
        <w:tc>
          <w:tcPr>
            <w:tcW w:type="dxa" w:w="2100"/>
            <w:tcMar>
              <w:top w:type="dxa" w:w="80"/>
              <w:left w:type="dxa" w:w="100"/>
              <w:bottom w:type="dxa" w:w="80"/>
              <w:right w:type="dxa" w:w="100"/>
            </w:tcMar>
            <w:vAlign w:val="center"/>
          </w:tcPr>
          <w:p>
            <w:r>
              <w:rPr>
                <w:sz w:val="18"/>
                <w:szCs w:val="18"/>
              </w:rPr>
              <w:t xml:space="preserve">Lead generation/prospecting (#8)</w:t>
            </w:r>
          </w:p>
        </w:tc>
        <w:tc>
          <w:tcPr>
            <w:tcW w:type="dxa" w:w="2600"/>
            <w:tcMar>
              <w:top w:type="dxa" w:w="80"/>
              <w:left w:type="dxa" w:w="100"/>
              <w:bottom w:type="dxa" w:w="80"/>
              <w:right w:type="dxa" w:w="100"/>
            </w:tcMar>
            <w:vAlign w:val="center"/>
          </w:tcPr>
          <w:p>
            <w:r>
              <w:rPr>
                <w:sz w:val="18"/>
                <w:szCs w:val="18"/>
              </w:rPr>
              <w:t xml:space="preserve">Partial — unclear, inconsistent channel.</w:t>
            </w:r>
          </w:p>
        </w:tc>
        <w:tc>
          <w:tcPr>
            <w:tcW w:type="dxa" w:w="2400"/>
            <w:tcMar>
              <w:top w:type="dxa" w:w="80"/>
              <w:left w:type="dxa" w:w="100"/>
              <w:bottom w:type="dxa" w:w="80"/>
              <w:right w:type="dxa" w:w="100"/>
            </w:tcMar>
            <w:vAlign w:val="center"/>
          </w:tcPr>
          <w:p>
            <w:r>
              <w:rPr>
                <w:sz w:val="18"/>
                <w:szCs w:val="18"/>
              </w:rPr>
              <w:t xml:space="preserve">1–2 consistent, repeatable lead channels defined.</w:t>
            </w:r>
          </w:p>
        </w:tc>
        <w:tc>
          <w:tcPr>
            <w:tcW w:type="dxa" w:w="1300"/>
            <w:shd w:fill="FFF3CD" w:val="clear"/>
            <w:tcMar>
              <w:top w:type="dxa" w:w="80"/>
              <w:left w:type="dxa" w:w="100"/>
              <w:bottom w:type="dxa" w:w="80"/>
              <w:right w:type="dxa" w:w="100"/>
            </w:tcMar>
            <w:vAlign w:val="center"/>
          </w:tcPr>
          <w:p>
            <w:r>
              <w:rPr>
                <w:sz w:val="18"/>
                <w:szCs w:val="18"/>
              </w:rPr>
              <w:t xml:space="preserve">Medium</w:t>
            </w:r>
          </w:p>
        </w:tc>
      </w:tr>
      <w:tr>
        <w:tc>
          <w:tcPr>
            <w:tcW w:type="dxa" w:w="700"/>
            <w:tcMar>
              <w:top w:type="dxa" w:w="80"/>
              <w:left w:type="dxa" w:w="100"/>
              <w:bottom w:type="dxa" w:w="80"/>
              <w:right w:type="dxa" w:w="100"/>
            </w:tcMar>
            <w:vAlign w:val="center"/>
          </w:tcPr>
          <w:p>
            <w:r>
              <w:rPr>
                <w:sz w:val="18"/>
                <w:szCs w:val="18"/>
              </w:rPr>
              <w:t xml:space="preserve">GAP-P9</w:t>
            </w:r>
          </w:p>
        </w:tc>
        <w:tc>
          <w:tcPr>
            <w:tcW w:type="dxa" w:w="2100"/>
            <w:tcMar>
              <w:top w:type="dxa" w:w="80"/>
              <w:left w:type="dxa" w:w="100"/>
              <w:bottom w:type="dxa" w:w="80"/>
              <w:right w:type="dxa" w:w="100"/>
            </w:tcMar>
            <w:vAlign w:val="center"/>
          </w:tcPr>
          <w:p>
            <w:r>
              <w:rPr>
                <w:sz w:val="18"/>
                <w:szCs w:val="18"/>
              </w:rPr>
              <w:t xml:space="preserve">Lead nurturing &amp; follow-up (#9)</w:t>
            </w:r>
          </w:p>
        </w:tc>
        <w:tc>
          <w:tcPr>
            <w:tcW w:type="dxa" w:w="2600"/>
            <w:tcMar>
              <w:top w:type="dxa" w:w="80"/>
              <w:left w:type="dxa" w:w="100"/>
              <w:bottom w:type="dxa" w:w="80"/>
              <w:right w:type="dxa" w:w="100"/>
            </w:tcMar>
            <w:vAlign w:val="center"/>
          </w:tcPr>
          <w:p>
            <w:r>
              <w:rPr>
                <w:sz w:val="18"/>
                <w:szCs w:val="18"/>
              </w:rPr>
              <w:t xml:space="preserve">Unknown/undocumented.</w:t>
            </w:r>
          </w:p>
        </w:tc>
        <w:tc>
          <w:tcPr>
            <w:tcW w:type="dxa" w:w="2400"/>
            <w:tcMar>
              <w:top w:type="dxa" w:w="80"/>
              <w:left w:type="dxa" w:w="100"/>
              <w:bottom w:type="dxa" w:w="80"/>
              <w:right w:type="dxa" w:w="100"/>
            </w:tcMar>
            <w:vAlign w:val="center"/>
          </w:tcPr>
          <w:p>
            <w:r>
              <w:rPr>
                <w:sz w:val="18"/>
                <w:szCs w:val="18"/>
              </w:rPr>
              <w:t xml:space="preserve">Simple follow-up sequence (email/text) built.</w:t>
            </w:r>
          </w:p>
        </w:tc>
        <w:tc>
          <w:tcPr>
            <w:tcW w:type="dxa" w:w="1300"/>
            <w:shd w:fill="FFF3CD" w:val="clear"/>
            <w:tcMar>
              <w:top w:type="dxa" w:w="80"/>
              <w:left w:type="dxa" w:w="100"/>
              <w:bottom w:type="dxa" w:w="80"/>
              <w:right w:type="dxa" w:w="100"/>
            </w:tcMar>
            <w:vAlign w:val="center"/>
          </w:tcPr>
          <w:p>
            <w:r>
              <w:rPr>
                <w:sz w:val="18"/>
                <w:szCs w:val="18"/>
              </w:rPr>
              <w:t xml:space="preserve">Medium</w:t>
            </w:r>
          </w:p>
        </w:tc>
      </w:tr>
      <w:tr>
        <w:tc>
          <w:tcPr>
            <w:tcW w:type="dxa" w:w="700"/>
            <w:tcMar>
              <w:top w:type="dxa" w:w="80"/>
              <w:left w:type="dxa" w:w="100"/>
              <w:bottom w:type="dxa" w:w="80"/>
              <w:right w:type="dxa" w:w="100"/>
            </w:tcMar>
            <w:vAlign w:val="center"/>
          </w:tcPr>
          <w:p>
            <w:r>
              <w:rPr>
                <w:sz w:val="18"/>
                <w:szCs w:val="18"/>
              </w:rPr>
              <w:t xml:space="preserve">GAP-P10</w:t>
            </w:r>
          </w:p>
        </w:tc>
        <w:tc>
          <w:tcPr>
            <w:tcW w:type="dxa" w:w="2100"/>
            <w:tcMar>
              <w:top w:type="dxa" w:w="80"/>
              <w:left w:type="dxa" w:w="100"/>
              <w:bottom w:type="dxa" w:w="80"/>
              <w:right w:type="dxa" w:w="100"/>
            </w:tcMar>
            <w:vAlign w:val="center"/>
          </w:tcPr>
          <w:p>
            <w:r>
              <w:rPr>
                <w:sz w:val="18"/>
                <w:szCs w:val="18"/>
              </w:rPr>
              <w:t xml:space="preserve">Marketing KPI tracking (#12)</w:t>
            </w:r>
          </w:p>
        </w:tc>
        <w:tc>
          <w:tcPr>
            <w:tcW w:type="dxa" w:w="2600"/>
            <w:tcMar>
              <w:top w:type="dxa" w:w="80"/>
              <w:left w:type="dxa" w:w="100"/>
              <w:bottom w:type="dxa" w:w="80"/>
              <w:right w:type="dxa" w:w="100"/>
            </w:tcMar>
            <w:vAlign w:val="center"/>
          </w:tcPr>
          <w:p>
            <w:r>
              <w:rPr>
                <w:sz w:val="18"/>
                <w:szCs w:val="18"/>
              </w:rPr>
              <w:t xml:space="preserve">Missing — no tracking system.</w:t>
            </w:r>
          </w:p>
        </w:tc>
        <w:tc>
          <w:tcPr>
            <w:tcW w:type="dxa" w:w="2400"/>
            <w:tcMar>
              <w:top w:type="dxa" w:w="80"/>
              <w:left w:type="dxa" w:w="100"/>
              <w:bottom w:type="dxa" w:w="80"/>
              <w:right w:type="dxa" w:w="100"/>
            </w:tcMar>
            <w:vAlign w:val="center"/>
          </w:tcPr>
          <w:p>
            <w:r>
              <w:rPr>
                <w:sz w:val="18"/>
                <w:szCs w:val="18"/>
              </w:rPr>
              <w:t xml:space="preserve">3–5 core KPIs defined with a simple tracking method.</w:t>
            </w:r>
          </w:p>
        </w:tc>
        <w:tc>
          <w:tcPr>
            <w:tcW w:type="dxa" w:w="1300"/>
            <w:shd w:fill="FFF3CD" w:val="clear"/>
            <w:tcMar>
              <w:top w:type="dxa" w:w="80"/>
              <w:left w:type="dxa" w:w="100"/>
              <w:bottom w:type="dxa" w:w="80"/>
              <w:right w:type="dxa" w:w="100"/>
            </w:tcMar>
            <w:vAlign w:val="center"/>
          </w:tcPr>
          <w:p>
            <w:r>
              <w:rPr>
                <w:sz w:val="18"/>
                <w:szCs w:val="18"/>
              </w:rPr>
              <w:t xml:space="preserve">Medium</w:t>
            </w:r>
          </w:p>
        </w:tc>
      </w:tr>
    </w:tbl>
    <w:p>
      <w:pPr>
        <w:spacing w:after="160"/>
      </w:pPr>
      <w:r>
        <w:t xml:space="preserve"> </w:t>
      </w:r>
    </w:p>
    <w:p>
      <w:pPr>
        <w:spacing w:after="160"/>
      </w:pPr>
      <w:r>
        <w:rPr>
          <w:i/>
          <w:iCs/>
          <w:sz w:val="20"/>
          <w:szCs w:val="20"/>
        </w:rPr>
        <w:t xml:space="preserve">Not included above: Consultation/sales conversion (#11) and Website &amp; digital tools (#10) are partially functioning today and are treated as dependent on GAP-S1–S3 rather than standalone gaps; Marketing budget planning (#14) is a Low-priority inferred gap tracked in Section 6.</w:t>
      </w:r>
    </w:p>
    <w:p>
      <w:pPr>
        <w:pStyle w:val="Heading1"/>
        <w:spacing w:after="160" w:before="320"/>
      </w:pPr>
      <w:r>
        <w:rPr>
          <w:b/>
          <w:bCs/>
          <w:color w:val="1F3864"/>
        </w:rPr>
        <w:t xml:space="preserve">5. Requirements Gaps (from RTM, Appendix B)</w:t>
      </w:r>
    </w:p>
    <w:p>
      <w:pPr>
        <w:spacing w:after="160"/>
      </w:pPr>
      <w:r>
        <w:t xml:space="preserve">Every requirement in the Requirements Traceability Matrix currently carries a status of Open — meaning the underlying user need is validated by survey evidence, but no solution yet exists. Each represents a live gap between a documented client need and current capability.</w:t>
      </w:r>
    </w:p>
    <w:tbl>
      <w:tblPr>
        <w:tblW w:type="dxa" w:w="8900"/>
        <w:tblBorders>
          <w:top w:val="single" w:color="auto" w:sz="4"/>
          <w:left w:val="single" w:color="auto" w:sz="4"/>
          <w:bottom w:val="single" w:color="auto" w:sz="4"/>
          <w:right w:val="single" w:color="auto" w:sz="4"/>
          <w:insideH w:val="single" w:color="auto" w:sz="4"/>
          <w:insideV w:val="single" w:color="auto" w:sz="4"/>
        </w:tblBorders>
      </w:tblPr>
      <w:tblGrid>
        <w:gridCol w:w="900"/>
        <w:gridCol w:w="2600"/>
        <w:gridCol w:w="900"/>
        <w:gridCol w:w="3200"/>
        <w:gridCol w:w="1300"/>
      </w:tblGrid>
      <w:tr>
        <w:trPr>
          <w:tblHeader/>
        </w:trPr>
        <w:tc>
          <w:tcPr>
            <w:tcW w:type="dxa" w:w="900"/>
            <w:shd w:fill="1F3864" w:val="clear"/>
            <w:tcMar>
              <w:top w:type="dxa" w:w="80"/>
              <w:left w:type="dxa" w:w="100"/>
              <w:bottom w:type="dxa" w:w="80"/>
              <w:right w:type="dxa" w:w="100"/>
            </w:tcMar>
            <w:vAlign w:val="center"/>
          </w:tcPr>
          <w:p>
            <w:r>
              <w:rPr>
                <w:b/>
                <w:bCs/>
                <w:color w:val="FFFFFF"/>
                <w:sz w:val="18"/>
                <w:szCs w:val="18"/>
              </w:rPr>
              <w:t xml:space="preserve">Need ID</w:t>
            </w:r>
          </w:p>
        </w:tc>
        <w:tc>
          <w:tcPr>
            <w:tcW w:type="dxa" w:w="2600"/>
            <w:shd w:fill="1F3864" w:val="clear"/>
            <w:tcMar>
              <w:top w:type="dxa" w:w="80"/>
              <w:left w:type="dxa" w:w="100"/>
              <w:bottom w:type="dxa" w:w="80"/>
              <w:right w:type="dxa" w:w="100"/>
            </w:tcMar>
            <w:vAlign w:val="center"/>
          </w:tcPr>
          <w:p>
            <w:r>
              <w:rPr>
                <w:b/>
                <w:bCs/>
                <w:color w:val="FFFFFF"/>
                <w:sz w:val="18"/>
                <w:szCs w:val="18"/>
              </w:rPr>
              <w:t xml:space="preserve">User Need (summary)</w:t>
            </w:r>
          </w:p>
        </w:tc>
        <w:tc>
          <w:tcPr>
            <w:tcW w:type="dxa" w:w="900"/>
            <w:shd w:fill="1F3864" w:val="clear"/>
            <w:tcMar>
              <w:top w:type="dxa" w:w="80"/>
              <w:left w:type="dxa" w:w="100"/>
              <w:bottom w:type="dxa" w:w="80"/>
              <w:right w:type="dxa" w:w="100"/>
            </w:tcMar>
            <w:vAlign w:val="center"/>
          </w:tcPr>
          <w:p>
            <w:r>
              <w:rPr>
                <w:b/>
                <w:bCs/>
                <w:color w:val="FFFFFF"/>
                <w:sz w:val="18"/>
                <w:szCs w:val="18"/>
              </w:rPr>
              <w:t xml:space="preserve">Req. ID</w:t>
            </w:r>
          </w:p>
        </w:tc>
        <w:tc>
          <w:tcPr>
            <w:tcW w:type="dxa" w:w="3200"/>
            <w:shd w:fill="1F3864" w:val="clear"/>
            <w:tcMar>
              <w:top w:type="dxa" w:w="80"/>
              <w:left w:type="dxa" w:w="100"/>
              <w:bottom w:type="dxa" w:w="80"/>
              <w:right w:type="dxa" w:w="100"/>
            </w:tcMar>
            <w:vAlign w:val="center"/>
          </w:tcPr>
          <w:p>
            <w:r>
              <w:rPr>
                <w:b/>
                <w:bCs/>
                <w:color w:val="FFFFFF"/>
                <w:sz w:val="18"/>
                <w:szCs w:val="18"/>
              </w:rPr>
              <w:t xml:space="preserve">Gap (what's missing today)</w:t>
            </w:r>
          </w:p>
        </w:tc>
        <w:tc>
          <w:tcPr>
            <w:tcW w:type="dxa" w:w="1300"/>
            <w:shd w:fill="1F3864" w:val="clear"/>
            <w:tcMar>
              <w:top w:type="dxa" w:w="80"/>
              <w:left w:type="dxa" w:w="100"/>
              <w:bottom w:type="dxa" w:w="80"/>
              <w:right w:type="dxa" w:w="100"/>
            </w:tcMar>
            <w:vAlign w:val="center"/>
          </w:tcPr>
          <w:p>
            <w:r>
              <w:rPr>
                <w:b/>
                <w:bCs/>
                <w:color w:val="FFFFFF"/>
                <w:sz w:val="18"/>
                <w:szCs w:val="18"/>
              </w:rPr>
              <w:t xml:space="preserve">Priority</w:t>
            </w:r>
          </w:p>
        </w:tc>
      </w:tr>
      <w:tr>
        <w:tc>
          <w:tcPr>
            <w:tcW w:type="dxa" w:w="900"/>
            <w:tcMar>
              <w:top w:type="dxa" w:w="80"/>
              <w:left w:type="dxa" w:w="100"/>
              <w:bottom w:type="dxa" w:w="80"/>
              <w:right w:type="dxa" w:w="100"/>
            </w:tcMar>
            <w:vAlign w:val="center"/>
          </w:tcPr>
          <w:p>
            <w:r>
              <w:rPr>
                <w:sz w:val="18"/>
                <w:szCs w:val="18"/>
              </w:rPr>
              <w:t xml:space="preserve">N-01</w:t>
            </w:r>
          </w:p>
        </w:tc>
        <w:tc>
          <w:tcPr>
            <w:tcW w:type="dxa" w:w="2600"/>
            <w:tcMar>
              <w:top w:type="dxa" w:w="80"/>
              <w:left w:type="dxa" w:w="100"/>
              <w:bottom w:type="dxa" w:w="80"/>
              <w:right w:type="dxa" w:w="100"/>
            </w:tcMar>
            <w:vAlign w:val="center"/>
          </w:tcPr>
          <w:p>
            <w:r>
              <w:rPr>
                <w:sz w:val="18"/>
                <w:szCs w:val="18"/>
              </w:rPr>
              <w:t xml:space="preserve">Affordable, recurring self-care</w:t>
            </w:r>
          </w:p>
        </w:tc>
        <w:tc>
          <w:tcPr>
            <w:tcW w:type="dxa" w:w="900"/>
            <w:tcMar>
              <w:top w:type="dxa" w:w="80"/>
              <w:left w:type="dxa" w:w="100"/>
              <w:bottom w:type="dxa" w:w="80"/>
              <w:right w:type="dxa" w:w="100"/>
            </w:tcMar>
            <w:vAlign w:val="center"/>
          </w:tcPr>
          <w:p>
            <w:r>
              <w:rPr>
                <w:sz w:val="18"/>
                <w:szCs w:val="18"/>
              </w:rPr>
              <w:t xml:space="preserve">R-01.1 / R-01.2</w:t>
            </w:r>
          </w:p>
        </w:tc>
        <w:tc>
          <w:tcPr>
            <w:tcW w:type="dxa" w:w="3200"/>
            <w:tcMar>
              <w:top w:type="dxa" w:w="80"/>
              <w:left w:type="dxa" w:w="100"/>
              <w:bottom w:type="dxa" w:w="80"/>
              <w:right w:type="dxa" w:w="100"/>
            </w:tcMar>
            <w:vAlign w:val="center"/>
          </w:tcPr>
          <w:p>
            <w:r>
              <w:rPr>
                <w:sz w:val="18"/>
                <w:szCs w:val="18"/>
              </w:rPr>
              <w:t xml:space="preserve">No tier priced at or under $249/mo; no sub-$100 entry tier.</w:t>
            </w:r>
          </w:p>
        </w:tc>
        <w:tc>
          <w:tcPr>
            <w:tcW w:type="dxa" w:w="1300"/>
            <w:shd w:fill="FCE4E4" w:val="clear"/>
            <w:tcMar>
              <w:top w:type="dxa" w:w="80"/>
              <w:left w:type="dxa" w:w="100"/>
              <w:bottom w:type="dxa" w:w="80"/>
              <w:right w:type="dxa" w:w="100"/>
            </w:tcMar>
            <w:vAlign w:val="center"/>
          </w:tcPr>
          <w:p>
            <w:r>
              <w:rPr>
                <w:sz w:val="18"/>
                <w:szCs w:val="18"/>
              </w:rPr>
              <w:t xml:space="preserve">High</w:t>
            </w:r>
          </w:p>
        </w:tc>
      </w:tr>
      <w:tr>
        <w:tc>
          <w:tcPr>
            <w:tcW w:type="dxa" w:w="900"/>
            <w:tcMar>
              <w:top w:type="dxa" w:w="80"/>
              <w:left w:type="dxa" w:w="100"/>
              <w:bottom w:type="dxa" w:w="80"/>
              <w:right w:type="dxa" w:w="100"/>
            </w:tcMar>
            <w:vAlign w:val="center"/>
          </w:tcPr>
          <w:p>
            <w:r>
              <w:rPr>
                <w:sz w:val="18"/>
                <w:szCs w:val="18"/>
              </w:rPr>
              <w:t xml:space="preserve">N-02</w:t>
            </w:r>
          </w:p>
        </w:tc>
        <w:tc>
          <w:tcPr>
            <w:tcW w:type="dxa" w:w="2600"/>
            <w:tcMar>
              <w:top w:type="dxa" w:w="80"/>
              <w:left w:type="dxa" w:w="100"/>
              <w:bottom w:type="dxa" w:w="80"/>
              <w:right w:type="dxa" w:w="100"/>
            </w:tcMar>
            <w:vAlign w:val="center"/>
          </w:tcPr>
          <w:p>
            <w:r>
              <w:rPr>
                <w:sz w:val="18"/>
                <w:szCs w:val="18"/>
              </w:rPr>
              <w:t xml:space="preserve">Treated as whole person, not a rushed slot</w:t>
            </w:r>
          </w:p>
        </w:tc>
        <w:tc>
          <w:tcPr>
            <w:tcW w:type="dxa" w:w="900"/>
            <w:tcMar>
              <w:top w:type="dxa" w:w="80"/>
              <w:left w:type="dxa" w:w="100"/>
              <w:bottom w:type="dxa" w:w="80"/>
              <w:right w:type="dxa" w:w="100"/>
            </w:tcMar>
            <w:vAlign w:val="center"/>
          </w:tcPr>
          <w:p>
            <w:r>
              <w:rPr>
                <w:sz w:val="18"/>
                <w:szCs w:val="18"/>
              </w:rPr>
              <w:t xml:space="preserve">R-02.1 / R-02.2</w:t>
            </w:r>
          </w:p>
        </w:tc>
        <w:tc>
          <w:tcPr>
            <w:tcW w:type="dxa" w:w="3200"/>
            <w:tcMar>
              <w:top w:type="dxa" w:w="80"/>
              <w:left w:type="dxa" w:w="100"/>
              <w:bottom w:type="dxa" w:w="80"/>
              <w:right w:type="dxa" w:w="100"/>
            </w:tcMar>
            <w:vAlign w:val="center"/>
          </w:tcPr>
          <w:p>
            <w:r>
              <w:rPr>
                <w:sz w:val="18"/>
                <w:szCs w:val="18"/>
              </w:rPr>
              <w:t xml:space="preserve">No minimum session-length standard; no consistent named-provider assignment.</w:t>
            </w:r>
          </w:p>
        </w:tc>
        <w:tc>
          <w:tcPr>
            <w:tcW w:type="dxa" w:w="1300"/>
            <w:shd w:fill="FCE4E4" w:val="clear"/>
            <w:tcMar>
              <w:top w:type="dxa" w:w="80"/>
              <w:left w:type="dxa" w:w="100"/>
              <w:bottom w:type="dxa" w:w="80"/>
              <w:right w:type="dxa" w:w="100"/>
            </w:tcMar>
            <w:vAlign w:val="center"/>
          </w:tcPr>
          <w:p>
            <w:r>
              <w:rPr>
                <w:sz w:val="18"/>
                <w:szCs w:val="18"/>
              </w:rPr>
              <w:t xml:space="preserve">High</w:t>
            </w:r>
          </w:p>
        </w:tc>
      </w:tr>
      <w:tr>
        <w:tc>
          <w:tcPr>
            <w:tcW w:type="dxa" w:w="900"/>
            <w:tcMar>
              <w:top w:type="dxa" w:w="80"/>
              <w:left w:type="dxa" w:w="100"/>
              <w:bottom w:type="dxa" w:w="80"/>
              <w:right w:type="dxa" w:w="100"/>
            </w:tcMar>
            <w:vAlign w:val="center"/>
          </w:tcPr>
          <w:p>
            <w:r>
              <w:rPr>
                <w:sz w:val="18"/>
                <w:szCs w:val="18"/>
              </w:rPr>
              <w:t xml:space="preserve">N-04</w:t>
            </w:r>
          </w:p>
        </w:tc>
        <w:tc>
          <w:tcPr>
            <w:tcW w:type="dxa" w:w="2600"/>
            <w:tcMar>
              <w:top w:type="dxa" w:w="80"/>
              <w:left w:type="dxa" w:w="100"/>
              <w:bottom w:type="dxa" w:w="80"/>
              <w:right w:type="dxa" w:w="100"/>
            </w:tcMar>
            <w:vAlign w:val="center"/>
          </w:tcPr>
          <w:p>
            <w:r>
              <w:rPr>
                <w:sz w:val="18"/>
                <w:szCs w:val="18"/>
              </w:rPr>
              <w:t xml:space="preserve">Flexible, low-friction scheduling</w:t>
            </w:r>
          </w:p>
        </w:tc>
        <w:tc>
          <w:tcPr>
            <w:tcW w:type="dxa" w:w="900"/>
            <w:tcMar>
              <w:top w:type="dxa" w:w="80"/>
              <w:left w:type="dxa" w:w="100"/>
              <w:bottom w:type="dxa" w:w="80"/>
              <w:right w:type="dxa" w:w="100"/>
            </w:tcMar>
            <w:vAlign w:val="center"/>
          </w:tcPr>
          <w:p>
            <w:r>
              <w:rPr>
                <w:sz w:val="18"/>
                <w:szCs w:val="18"/>
              </w:rPr>
              <w:t xml:space="preserve">R-04.1</w:t>
            </w:r>
          </w:p>
        </w:tc>
        <w:tc>
          <w:tcPr>
            <w:tcW w:type="dxa" w:w="3200"/>
            <w:tcMar>
              <w:top w:type="dxa" w:w="80"/>
              <w:left w:type="dxa" w:w="100"/>
              <w:bottom w:type="dxa" w:w="80"/>
              <w:right w:type="dxa" w:w="100"/>
            </w:tcMar>
            <w:vAlign w:val="center"/>
          </w:tcPr>
          <w:p>
            <w:r>
              <w:rPr>
                <w:sz w:val="18"/>
                <w:szCs w:val="18"/>
              </w:rPr>
              <w:t xml:space="preserve">No online self-scheduling with same-week availability.</w:t>
            </w:r>
          </w:p>
        </w:tc>
        <w:tc>
          <w:tcPr>
            <w:tcW w:type="dxa" w:w="1300"/>
            <w:shd w:fill="FFF3CD" w:val="clear"/>
            <w:tcMar>
              <w:top w:type="dxa" w:w="80"/>
              <w:left w:type="dxa" w:w="100"/>
              <w:bottom w:type="dxa" w:w="80"/>
              <w:right w:type="dxa" w:w="100"/>
            </w:tcMar>
            <w:vAlign w:val="center"/>
          </w:tcPr>
          <w:p>
            <w:r>
              <w:rPr>
                <w:sz w:val="18"/>
                <w:szCs w:val="18"/>
              </w:rPr>
              <w:t xml:space="preserve">Medium</w:t>
            </w:r>
          </w:p>
        </w:tc>
      </w:tr>
      <w:tr>
        <w:tc>
          <w:tcPr>
            <w:tcW w:type="dxa" w:w="900"/>
            <w:tcMar>
              <w:top w:type="dxa" w:w="80"/>
              <w:left w:type="dxa" w:w="100"/>
              <w:bottom w:type="dxa" w:w="80"/>
              <w:right w:type="dxa" w:w="100"/>
            </w:tcMar>
            <w:vAlign w:val="center"/>
          </w:tcPr>
          <w:p>
            <w:r>
              <w:rPr>
                <w:sz w:val="18"/>
                <w:szCs w:val="18"/>
              </w:rPr>
              <w:t xml:space="preserve">N-03</w:t>
            </w:r>
          </w:p>
        </w:tc>
        <w:tc>
          <w:tcPr>
            <w:tcW w:type="dxa" w:w="2600"/>
            <w:tcMar>
              <w:top w:type="dxa" w:w="80"/>
              <w:left w:type="dxa" w:w="100"/>
              <w:bottom w:type="dxa" w:w="80"/>
              <w:right w:type="dxa" w:w="100"/>
            </w:tcMar>
            <w:vAlign w:val="center"/>
          </w:tcPr>
          <w:p>
            <w:r>
              <w:rPr>
                <w:sz w:val="18"/>
                <w:szCs w:val="18"/>
              </w:rPr>
              <w:t xml:space="preserve">Non-pharmaceutical, natural-approach framing</w:t>
            </w:r>
          </w:p>
        </w:tc>
        <w:tc>
          <w:tcPr>
            <w:tcW w:type="dxa" w:w="900"/>
            <w:tcMar>
              <w:top w:type="dxa" w:w="80"/>
              <w:left w:type="dxa" w:w="100"/>
              <w:bottom w:type="dxa" w:w="80"/>
              <w:right w:type="dxa" w:w="100"/>
            </w:tcMar>
            <w:vAlign w:val="center"/>
          </w:tcPr>
          <w:p>
            <w:r>
              <w:rPr>
                <w:sz w:val="18"/>
                <w:szCs w:val="18"/>
              </w:rPr>
              <w:t xml:space="preserve">R-03.1</w:t>
            </w:r>
          </w:p>
        </w:tc>
        <w:tc>
          <w:tcPr>
            <w:tcW w:type="dxa" w:w="3200"/>
            <w:tcMar>
              <w:top w:type="dxa" w:w="80"/>
              <w:left w:type="dxa" w:w="100"/>
              <w:bottom w:type="dxa" w:w="80"/>
              <w:right w:type="dxa" w:w="100"/>
            </w:tcMar>
            <w:vAlign w:val="center"/>
          </w:tcPr>
          <w:p>
            <w:r>
              <w:rPr>
                <w:sz w:val="18"/>
                <w:szCs w:val="18"/>
              </w:rPr>
              <w:t xml:space="preserve">Marketing/service descriptions don't foreground natural, non-pharma framing.</w:t>
            </w:r>
          </w:p>
        </w:tc>
        <w:tc>
          <w:tcPr>
            <w:tcW w:type="dxa" w:w="1300"/>
            <w:shd w:fill="FFF3CD" w:val="clear"/>
            <w:tcMar>
              <w:top w:type="dxa" w:w="80"/>
              <w:left w:type="dxa" w:w="100"/>
              <w:bottom w:type="dxa" w:w="80"/>
              <w:right w:type="dxa" w:w="100"/>
            </w:tcMar>
            <w:vAlign w:val="center"/>
          </w:tcPr>
          <w:p>
            <w:r>
              <w:rPr>
                <w:sz w:val="18"/>
                <w:szCs w:val="18"/>
              </w:rPr>
              <w:t xml:space="preserve">Medium</w:t>
            </w:r>
          </w:p>
        </w:tc>
      </w:tr>
      <w:tr>
        <w:tc>
          <w:tcPr>
            <w:tcW w:type="dxa" w:w="900"/>
            <w:tcMar>
              <w:top w:type="dxa" w:w="80"/>
              <w:left w:type="dxa" w:w="100"/>
              <w:bottom w:type="dxa" w:w="80"/>
              <w:right w:type="dxa" w:w="100"/>
            </w:tcMar>
            <w:vAlign w:val="center"/>
          </w:tcPr>
          <w:p>
            <w:r>
              <w:rPr>
                <w:sz w:val="18"/>
                <w:szCs w:val="18"/>
              </w:rPr>
              <w:t xml:space="preserve">N-05</w:t>
            </w:r>
          </w:p>
        </w:tc>
        <w:tc>
          <w:tcPr>
            <w:tcW w:type="dxa" w:w="2600"/>
            <w:tcMar>
              <w:top w:type="dxa" w:w="80"/>
              <w:left w:type="dxa" w:w="100"/>
              <w:bottom w:type="dxa" w:w="80"/>
              <w:right w:type="dxa" w:w="100"/>
            </w:tcMar>
            <w:vAlign w:val="center"/>
          </w:tcPr>
          <w:p>
            <w:r>
              <w:rPr>
                <w:sz w:val="18"/>
                <w:szCs w:val="18"/>
              </w:rPr>
              <w:t xml:space="preserve">Visible proof of consistency/results</w:t>
            </w:r>
          </w:p>
        </w:tc>
        <w:tc>
          <w:tcPr>
            <w:tcW w:type="dxa" w:w="900"/>
            <w:tcMar>
              <w:top w:type="dxa" w:w="80"/>
              <w:left w:type="dxa" w:w="100"/>
              <w:bottom w:type="dxa" w:w="80"/>
              <w:right w:type="dxa" w:w="100"/>
            </w:tcMar>
            <w:vAlign w:val="center"/>
          </w:tcPr>
          <w:p>
            <w:r>
              <w:rPr>
                <w:sz w:val="18"/>
                <w:szCs w:val="18"/>
              </w:rPr>
              <w:t xml:space="preserve">R-05.1</w:t>
            </w:r>
          </w:p>
        </w:tc>
        <w:tc>
          <w:tcPr>
            <w:tcW w:type="dxa" w:w="3200"/>
            <w:tcMar>
              <w:top w:type="dxa" w:w="80"/>
              <w:left w:type="dxa" w:w="100"/>
              <w:bottom w:type="dxa" w:w="80"/>
              <w:right w:type="dxa" w:w="100"/>
            </w:tcMar>
            <w:vAlign w:val="center"/>
          </w:tcPr>
          <w:p>
            <w:r>
              <w:rPr>
                <w:sz w:val="18"/>
                <w:szCs w:val="18"/>
              </w:rPr>
              <w:t xml:space="preserve">No documented progress-tracking mechanism visible to clients.</w:t>
            </w:r>
          </w:p>
        </w:tc>
        <w:tc>
          <w:tcPr>
            <w:tcW w:type="dxa" w:w="1300"/>
            <w:shd w:fill="FFF3CD" w:val="clear"/>
            <w:tcMar>
              <w:top w:type="dxa" w:w="80"/>
              <w:left w:type="dxa" w:w="100"/>
              <w:bottom w:type="dxa" w:w="80"/>
              <w:right w:type="dxa" w:w="100"/>
            </w:tcMar>
            <w:vAlign w:val="center"/>
          </w:tcPr>
          <w:p>
            <w:r>
              <w:rPr>
                <w:sz w:val="18"/>
                <w:szCs w:val="18"/>
              </w:rPr>
              <w:t xml:space="preserve">Medium</w:t>
            </w:r>
          </w:p>
        </w:tc>
      </w:tr>
      <w:tr>
        <w:tc>
          <w:tcPr>
            <w:tcW w:type="dxa" w:w="900"/>
            <w:tcMar>
              <w:top w:type="dxa" w:w="80"/>
              <w:left w:type="dxa" w:w="100"/>
              <w:bottom w:type="dxa" w:w="80"/>
              <w:right w:type="dxa" w:w="100"/>
            </w:tcMar>
            <w:vAlign w:val="center"/>
          </w:tcPr>
          <w:p>
            <w:r>
              <w:rPr>
                <w:sz w:val="18"/>
                <w:szCs w:val="18"/>
              </w:rPr>
              <w:t xml:space="preserve">N-06</w:t>
            </w:r>
          </w:p>
        </w:tc>
        <w:tc>
          <w:tcPr>
            <w:tcW w:type="dxa" w:w="2600"/>
            <w:tcMar>
              <w:top w:type="dxa" w:w="80"/>
              <w:left w:type="dxa" w:w="100"/>
              <w:bottom w:type="dxa" w:w="80"/>
              <w:right w:type="dxa" w:w="100"/>
            </w:tcMar>
            <w:vAlign w:val="center"/>
          </w:tcPr>
          <w:p>
            <w:r>
              <w:rPr>
                <w:sz w:val="18"/>
                <w:szCs w:val="18"/>
              </w:rPr>
              <w:t xml:space="preserve">Next-tier offer for high-income, low-frequency users</w:t>
            </w:r>
          </w:p>
        </w:tc>
        <w:tc>
          <w:tcPr>
            <w:tcW w:type="dxa" w:w="900"/>
            <w:tcMar>
              <w:top w:type="dxa" w:w="80"/>
              <w:left w:type="dxa" w:w="100"/>
              <w:bottom w:type="dxa" w:w="80"/>
              <w:right w:type="dxa" w:w="100"/>
            </w:tcMar>
            <w:vAlign w:val="center"/>
          </w:tcPr>
          <w:p>
            <w:r>
              <w:rPr>
                <w:sz w:val="18"/>
                <w:szCs w:val="18"/>
              </w:rPr>
              <w:t xml:space="preserve">R-06.1</w:t>
            </w:r>
          </w:p>
        </w:tc>
        <w:tc>
          <w:tcPr>
            <w:tcW w:type="dxa" w:w="3200"/>
            <w:tcMar>
              <w:top w:type="dxa" w:w="80"/>
              <w:left w:type="dxa" w:w="100"/>
              <w:bottom w:type="dxa" w:w="80"/>
              <w:right w:type="dxa" w:w="100"/>
            </w:tcMar>
            <w:vAlign w:val="center"/>
          </w:tcPr>
          <w:p>
            <w:r>
              <w:rPr>
                <w:sz w:val="18"/>
                <w:szCs w:val="18"/>
              </w:rPr>
              <w:t xml:space="preserve">No membership tier bundling advanced tech and flexible scheduling.</w:t>
            </w:r>
          </w:p>
        </w:tc>
        <w:tc>
          <w:tcPr>
            <w:tcW w:type="dxa" w:w="1300"/>
            <w:shd w:fill="FFF3CD" w:val="clear"/>
            <w:tcMar>
              <w:top w:type="dxa" w:w="80"/>
              <w:left w:type="dxa" w:w="100"/>
              <w:bottom w:type="dxa" w:w="80"/>
              <w:right w:type="dxa" w:w="100"/>
            </w:tcMar>
            <w:vAlign w:val="center"/>
          </w:tcPr>
          <w:p>
            <w:r>
              <w:rPr>
                <w:sz w:val="18"/>
                <w:szCs w:val="18"/>
              </w:rPr>
              <w:t xml:space="preserve">Medium</w:t>
            </w:r>
          </w:p>
        </w:tc>
      </w:tr>
      <w:tr>
        <w:tc>
          <w:tcPr>
            <w:tcW w:type="dxa" w:w="900"/>
            <w:tcMar>
              <w:top w:type="dxa" w:w="80"/>
              <w:left w:type="dxa" w:w="100"/>
              <w:bottom w:type="dxa" w:w="80"/>
              <w:right w:type="dxa" w:w="100"/>
            </w:tcMar>
            <w:vAlign w:val="center"/>
          </w:tcPr>
          <w:p>
            <w:r>
              <w:rPr>
                <w:sz w:val="18"/>
                <w:szCs w:val="18"/>
              </w:rPr>
              <w:t xml:space="preserve">N-09</w:t>
            </w:r>
          </w:p>
        </w:tc>
        <w:tc>
          <w:tcPr>
            <w:tcW w:type="dxa" w:w="2600"/>
            <w:tcMar>
              <w:top w:type="dxa" w:w="80"/>
              <w:left w:type="dxa" w:w="100"/>
              <w:bottom w:type="dxa" w:w="80"/>
              <w:right w:type="dxa" w:w="100"/>
            </w:tcMar>
            <w:vAlign w:val="center"/>
          </w:tcPr>
          <w:p>
            <w:r>
              <w:rPr>
                <w:sz w:val="18"/>
                <w:szCs w:val="18"/>
              </w:rPr>
              <w:t xml:space="preserve">Insurance/HSA-FSA compatibility</w:t>
            </w:r>
          </w:p>
        </w:tc>
        <w:tc>
          <w:tcPr>
            <w:tcW w:type="dxa" w:w="900"/>
            <w:tcMar>
              <w:top w:type="dxa" w:w="80"/>
              <w:left w:type="dxa" w:w="100"/>
              <w:bottom w:type="dxa" w:w="80"/>
              <w:right w:type="dxa" w:w="100"/>
            </w:tcMar>
            <w:vAlign w:val="center"/>
          </w:tcPr>
          <w:p>
            <w:r>
              <w:rPr>
                <w:sz w:val="18"/>
                <w:szCs w:val="18"/>
              </w:rPr>
              <w:t xml:space="preserve">R-09.1</w:t>
            </w:r>
          </w:p>
        </w:tc>
        <w:tc>
          <w:tcPr>
            <w:tcW w:type="dxa" w:w="3200"/>
            <w:tcMar>
              <w:top w:type="dxa" w:w="80"/>
              <w:left w:type="dxa" w:w="100"/>
              <w:bottom w:type="dxa" w:w="80"/>
              <w:right w:type="dxa" w:w="100"/>
            </w:tcMar>
            <w:vAlign w:val="center"/>
          </w:tcPr>
          <w:p>
            <w:r>
              <w:rPr>
                <w:sz w:val="18"/>
                <w:szCs w:val="18"/>
              </w:rPr>
              <w:t xml:space="preserve">HSA/FSA eligibility and superbill support not yet evaluated.</w:t>
            </w:r>
          </w:p>
        </w:tc>
        <w:tc>
          <w:tcPr>
            <w:tcW w:type="dxa" w:w="1300"/>
            <w:shd w:fill="FFF3CD" w:val="clear"/>
            <w:tcMar>
              <w:top w:type="dxa" w:w="80"/>
              <w:left w:type="dxa" w:w="100"/>
              <w:bottom w:type="dxa" w:w="80"/>
              <w:right w:type="dxa" w:w="100"/>
            </w:tcMar>
            <w:vAlign w:val="center"/>
          </w:tcPr>
          <w:p>
            <w:r>
              <w:rPr>
                <w:sz w:val="18"/>
                <w:szCs w:val="18"/>
              </w:rPr>
              <w:t xml:space="preserve">Medium</w:t>
            </w:r>
          </w:p>
        </w:tc>
      </w:tr>
      <w:tr>
        <w:tc>
          <w:tcPr>
            <w:tcW w:type="dxa" w:w="900"/>
            <w:tcMar>
              <w:top w:type="dxa" w:w="80"/>
              <w:left w:type="dxa" w:w="100"/>
              <w:bottom w:type="dxa" w:w="80"/>
              <w:right w:type="dxa" w:w="100"/>
            </w:tcMar>
            <w:vAlign w:val="center"/>
          </w:tcPr>
          <w:p>
            <w:r>
              <w:rPr>
                <w:sz w:val="18"/>
                <w:szCs w:val="18"/>
              </w:rPr>
              <w:t xml:space="preserve">N-07</w:t>
            </w:r>
          </w:p>
        </w:tc>
        <w:tc>
          <w:tcPr>
            <w:tcW w:type="dxa" w:w="2600"/>
            <w:tcMar>
              <w:top w:type="dxa" w:w="80"/>
              <w:left w:type="dxa" w:w="100"/>
              <w:bottom w:type="dxa" w:w="80"/>
              <w:right w:type="dxa" w:w="100"/>
            </w:tcMar>
            <w:vAlign w:val="center"/>
          </w:tcPr>
          <w:p>
            <w:r>
              <w:rPr>
                <w:sz w:val="18"/>
                <w:szCs w:val="18"/>
              </w:rPr>
              <w:t xml:space="preserve">Upsell path for regular users</w:t>
            </w:r>
          </w:p>
        </w:tc>
        <w:tc>
          <w:tcPr>
            <w:tcW w:type="dxa" w:w="900"/>
            <w:tcMar>
              <w:top w:type="dxa" w:w="80"/>
              <w:left w:type="dxa" w:w="100"/>
              <w:bottom w:type="dxa" w:w="80"/>
              <w:right w:type="dxa" w:w="100"/>
            </w:tcMar>
            <w:vAlign w:val="center"/>
          </w:tcPr>
          <w:p>
            <w:r>
              <w:rPr>
                <w:sz w:val="18"/>
                <w:szCs w:val="18"/>
              </w:rPr>
              <w:t xml:space="preserve">R-07.1</w:t>
            </w:r>
          </w:p>
        </w:tc>
        <w:tc>
          <w:tcPr>
            <w:tcW w:type="dxa" w:w="3200"/>
            <w:tcMar>
              <w:top w:type="dxa" w:w="80"/>
              <w:left w:type="dxa" w:w="100"/>
              <w:bottom w:type="dxa" w:w="80"/>
              <w:right w:type="dxa" w:w="100"/>
            </w:tcMar>
            <w:vAlign w:val="center"/>
          </w:tcPr>
          <w:p>
            <w:r>
              <w:rPr>
                <w:sz w:val="18"/>
                <w:szCs w:val="18"/>
              </w:rPr>
              <w:t xml:space="preserve">No upsell path from base to premium tier for weekly/monthly users.</w:t>
            </w:r>
          </w:p>
        </w:tc>
        <w:tc>
          <w:tcPr>
            <w:tcW w:type="dxa" w:w="1300"/>
            <w:shd w:fill="E2F0D9" w:val="clear"/>
            <w:tcMar>
              <w:top w:type="dxa" w:w="80"/>
              <w:left w:type="dxa" w:w="100"/>
              <w:bottom w:type="dxa" w:w="80"/>
              <w:right w:type="dxa" w:w="100"/>
            </w:tcMar>
            <w:vAlign w:val="center"/>
          </w:tcPr>
          <w:p>
            <w:r>
              <w:rPr>
                <w:sz w:val="18"/>
                <w:szCs w:val="18"/>
              </w:rPr>
              <w:t xml:space="preserve">Low</w:t>
            </w:r>
          </w:p>
        </w:tc>
      </w:tr>
      <w:tr>
        <w:tc>
          <w:tcPr>
            <w:tcW w:type="dxa" w:w="900"/>
            <w:tcMar>
              <w:top w:type="dxa" w:w="80"/>
              <w:left w:type="dxa" w:w="100"/>
              <w:bottom w:type="dxa" w:w="80"/>
              <w:right w:type="dxa" w:w="100"/>
            </w:tcMar>
            <w:vAlign w:val="center"/>
          </w:tcPr>
          <w:p>
            <w:r>
              <w:rPr>
                <w:sz w:val="18"/>
                <w:szCs w:val="18"/>
              </w:rPr>
              <w:t xml:space="preserve">N-04</w:t>
            </w:r>
          </w:p>
        </w:tc>
        <w:tc>
          <w:tcPr>
            <w:tcW w:type="dxa" w:w="2600"/>
            <w:tcMar>
              <w:top w:type="dxa" w:w="80"/>
              <w:left w:type="dxa" w:w="100"/>
              <w:bottom w:type="dxa" w:w="80"/>
              <w:right w:type="dxa" w:w="100"/>
            </w:tcMar>
            <w:vAlign w:val="center"/>
          </w:tcPr>
          <w:p>
            <w:r>
              <w:rPr>
                <w:sz w:val="18"/>
                <w:szCs w:val="18"/>
              </w:rPr>
              <w:t xml:space="preserve">Childcare during appointments</w:t>
            </w:r>
          </w:p>
        </w:tc>
        <w:tc>
          <w:tcPr>
            <w:tcW w:type="dxa" w:w="900"/>
            <w:tcMar>
              <w:top w:type="dxa" w:w="80"/>
              <w:left w:type="dxa" w:w="100"/>
              <w:bottom w:type="dxa" w:w="80"/>
              <w:right w:type="dxa" w:w="100"/>
            </w:tcMar>
            <w:vAlign w:val="center"/>
          </w:tcPr>
          <w:p>
            <w:r>
              <w:rPr>
                <w:sz w:val="18"/>
                <w:szCs w:val="18"/>
              </w:rPr>
              <w:t xml:space="preserve">R-04.2</w:t>
            </w:r>
          </w:p>
        </w:tc>
        <w:tc>
          <w:tcPr>
            <w:tcW w:type="dxa" w:w="3200"/>
            <w:tcMar>
              <w:top w:type="dxa" w:w="80"/>
              <w:left w:type="dxa" w:w="100"/>
              <w:bottom w:type="dxa" w:w="80"/>
              <w:right w:type="dxa" w:w="100"/>
            </w:tcMar>
            <w:vAlign w:val="center"/>
          </w:tcPr>
          <w:p>
            <w:r>
              <w:rPr>
                <w:sz w:val="18"/>
                <w:szCs w:val="18"/>
              </w:rPr>
              <w:t xml:space="preserve">No on-site or concurrent childcare option.</w:t>
            </w:r>
          </w:p>
        </w:tc>
        <w:tc>
          <w:tcPr>
            <w:tcW w:type="dxa" w:w="1300"/>
            <w:shd w:fill="E2F0D9" w:val="clear"/>
            <w:tcMar>
              <w:top w:type="dxa" w:w="80"/>
              <w:left w:type="dxa" w:w="100"/>
              <w:bottom w:type="dxa" w:w="80"/>
              <w:right w:type="dxa" w:w="100"/>
            </w:tcMar>
            <w:vAlign w:val="center"/>
          </w:tcPr>
          <w:p>
            <w:r>
              <w:rPr>
                <w:sz w:val="18"/>
                <w:szCs w:val="18"/>
              </w:rPr>
              <w:t xml:space="preserve">Low</w:t>
            </w:r>
          </w:p>
        </w:tc>
      </w:tr>
      <w:tr>
        <w:tc>
          <w:tcPr>
            <w:tcW w:type="dxa" w:w="900"/>
            <w:tcMar>
              <w:top w:type="dxa" w:w="80"/>
              <w:left w:type="dxa" w:w="100"/>
              <w:bottom w:type="dxa" w:w="80"/>
              <w:right w:type="dxa" w:w="100"/>
            </w:tcMar>
            <w:vAlign w:val="center"/>
          </w:tcPr>
          <w:p>
            <w:r>
              <w:rPr>
                <w:sz w:val="18"/>
                <w:szCs w:val="18"/>
              </w:rPr>
              <w:t xml:space="preserve">N-08</w:t>
            </w:r>
          </w:p>
        </w:tc>
        <w:tc>
          <w:tcPr>
            <w:tcW w:type="dxa" w:w="2600"/>
            <w:tcMar>
              <w:top w:type="dxa" w:w="80"/>
              <w:left w:type="dxa" w:w="100"/>
              <w:bottom w:type="dxa" w:w="80"/>
              <w:right w:type="dxa" w:w="100"/>
            </w:tcMar>
            <w:vAlign w:val="center"/>
          </w:tcPr>
          <w:p>
            <w:r>
              <w:rPr>
                <w:sz w:val="18"/>
                <w:szCs w:val="18"/>
              </w:rPr>
              <w:t xml:space="preserve">Confidentiality assurance</w:t>
            </w:r>
          </w:p>
        </w:tc>
        <w:tc>
          <w:tcPr>
            <w:tcW w:type="dxa" w:w="900"/>
            <w:tcMar>
              <w:top w:type="dxa" w:w="80"/>
              <w:left w:type="dxa" w:w="100"/>
              <w:bottom w:type="dxa" w:w="80"/>
              <w:right w:type="dxa" w:w="100"/>
            </w:tcMar>
            <w:vAlign w:val="center"/>
          </w:tcPr>
          <w:p>
            <w:r>
              <w:rPr>
                <w:sz w:val="18"/>
                <w:szCs w:val="18"/>
              </w:rPr>
              <w:t xml:space="preserve">R-08.1</w:t>
            </w:r>
          </w:p>
        </w:tc>
        <w:tc>
          <w:tcPr>
            <w:tcW w:type="dxa" w:w="3200"/>
            <w:tcMar>
              <w:top w:type="dxa" w:w="80"/>
              <w:left w:type="dxa" w:w="100"/>
              <w:bottom w:type="dxa" w:w="80"/>
              <w:right w:type="dxa" w:w="100"/>
            </w:tcMar>
            <w:vAlign w:val="center"/>
          </w:tcPr>
          <w:p>
            <w:r>
              <w:rPr>
                <w:sz w:val="18"/>
                <w:szCs w:val="18"/>
              </w:rPr>
              <w:t xml:space="preserve">No published confidentiality/discretion policy in onboarding materials.</w:t>
            </w:r>
          </w:p>
        </w:tc>
        <w:tc>
          <w:tcPr>
            <w:tcW w:type="dxa" w:w="1300"/>
            <w:shd w:fill="E2F0D9" w:val="clear"/>
            <w:tcMar>
              <w:top w:type="dxa" w:w="80"/>
              <w:left w:type="dxa" w:w="100"/>
              <w:bottom w:type="dxa" w:w="80"/>
              <w:right w:type="dxa" w:w="100"/>
            </w:tcMar>
            <w:vAlign w:val="center"/>
          </w:tcPr>
          <w:p>
            <w:r>
              <w:rPr>
                <w:sz w:val="18"/>
                <w:szCs w:val="18"/>
              </w:rPr>
              <w:t xml:space="preserve">Low</w:t>
            </w:r>
          </w:p>
        </w:tc>
      </w:tr>
    </w:tbl>
    <w:p>
      <w:pPr>
        <w:spacing w:after="160"/>
      </w:pPr>
      <w:r>
        <w:t xml:space="preserve"> </w:t>
      </w:r>
    </w:p>
    <w:p>
      <w:pPr>
        <w:pStyle w:val="Heading1"/>
        <w:spacing w:after="160" w:before="320"/>
      </w:pPr>
      <w:r>
        <w:rPr>
          <w:b/>
          <w:bCs/>
          <w:color w:val="1F3864"/>
        </w:rPr>
        <w:t xml:space="preserve">6. Operational Waste Gaps (DOWNTIME, Appendix E)</w:t>
      </w:r>
    </w:p>
    <w:p>
      <w:pPr>
        <w:spacing w:after="160"/>
      </w:pPr>
      <w:r>
        <w:t xml:space="preserve">The Lean DOWNTIME assessment identifies waste in the current process flow. Each waste type is, in effect, a gap between the current disconnected process and a desired closed-loop process where research, messaging, pricing, and measurement reinforce one another.</w:t>
      </w:r>
    </w:p>
    <w:tbl>
      <w:tblPr>
        <w:tblW w:type="dxa" w:w="8400"/>
        <w:tblBorders>
          <w:top w:val="single" w:color="auto" w:sz="4"/>
          <w:left w:val="single" w:color="auto" w:sz="4"/>
          <w:bottom w:val="single" w:color="auto" w:sz="4"/>
          <w:right w:val="single" w:color="auto" w:sz="4"/>
          <w:insideH w:val="single" w:color="auto" w:sz="4"/>
          <w:insideV w:val="single" w:color="auto" w:sz="4"/>
        </w:tblBorders>
      </w:tblPr>
      <w:tblGrid>
        <w:gridCol w:w="1600"/>
        <w:gridCol w:w="3000"/>
        <w:gridCol w:w="2600"/>
        <w:gridCol w:w="1200"/>
      </w:tblGrid>
      <w:tr>
        <w:trPr>
          <w:tblHeader/>
        </w:trPr>
        <w:tc>
          <w:tcPr>
            <w:tcW w:type="dxa" w:w="1600"/>
            <w:shd w:fill="1F3864" w:val="clear"/>
            <w:tcMar>
              <w:top w:type="dxa" w:w="80"/>
              <w:left w:type="dxa" w:w="100"/>
              <w:bottom w:type="dxa" w:w="80"/>
              <w:right w:type="dxa" w:w="100"/>
            </w:tcMar>
            <w:vAlign w:val="center"/>
          </w:tcPr>
          <w:p>
            <w:r>
              <w:rPr>
                <w:b/>
                <w:bCs/>
                <w:color w:val="FFFFFF"/>
                <w:sz w:val="18"/>
                <w:szCs w:val="18"/>
              </w:rPr>
              <w:t xml:space="preserve">Waste Type</w:t>
            </w:r>
          </w:p>
        </w:tc>
        <w:tc>
          <w:tcPr>
            <w:tcW w:type="dxa" w:w="3000"/>
            <w:shd w:fill="1F3864" w:val="clear"/>
            <w:tcMar>
              <w:top w:type="dxa" w:w="80"/>
              <w:left w:type="dxa" w:w="100"/>
              <w:bottom w:type="dxa" w:w="80"/>
              <w:right w:type="dxa" w:w="100"/>
            </w:tcMar>
            <w:vAlign w:val="center"/>
          </w:tcPr>
          <w:p>
            <w:r>
              <w:rPr>
                <w:b/>
                <w:bCs/>
                <w:color w:val="FFFFFF"/>
                <w:sz w:val="18"/>
                <w:szCs w:val="18"/>
              </w:rPr>
              <w:t xml:space="preserve">Current State (Gap)</w:t>
            </w:r>
          </w:p>
        </w:tc>
        <w:tc>
          <w:tcPr>
            <w:tcW w:type="dxa" w:w="2600"/>
            <w:shd w:fill="1F3864" w:val="clear"/>
            <w:tcMar>
              <w:top w:type="dxa" w:w="80"/>
              <w:left w:type="dxa" w:w="100"/>
              <w:bottom w:type="dxa" w:w="80"/>
              <w:right w:type="dxa" w:w="100"/>
            </w:tcMar>
            <w:vAlign w:val="center"/>
          </w:tcPr>
          <w:p>
            <w:r>
              <w:rPr>
                <w:b/>
                <w:bCs/>
                <w:color w:val="FFFFFF"/>
                <w:sz w:val="18"/>
                <w:szCs w:val="18"/>
              </w:rPr>
              <w:t xml:space="preserve">Desired State</w:t>
            </w:r>
          </w:p>
        </w:tc>
        <w:tc>
          <w:tcPr>
            <w:tcW w:type="dxa" w:w="1200"/>
            <w:shd w:fill="1F3864" w:val="clear"/>
            <w:tcMar>
              <w:top w:type="dxa" w:w="80"/>
              <w:left w:type="dxa" w:w="100"/>
              <w:bottom w:type="dxa" w:w="80"/>
              <w:right w:type="dxa" w:w="100"/>
            </w:tcMar>
            <w:vAlign w:val="center"/>
          </w:tcPr>
          <w:p>
            <w:r>
              <w:rPr>
                <w:b/>
                <w:bCs/>
                <w:color w:val="FFFFFF"/>
                <w:sz w:val="18"/>
                <w:szCs w:val="18"/>
              </w:rPr>
              <w:t xml:space="preserve">Priority</w:t>
            </w:r>
          </w:p>
        </w:tc>
      </w:tr>
      <w:tr>
        <w:tc>
          <w:tcPr>
            <w:tcW w:type="dxa" w:w="1600"/>
            <w:tcMar>
              <w:top w:type="dxa" w:w="80"/>
              <w:left w:type="dxa" w:w="100"/>
              <w:bottom w:type="dxa" w:w="80"/>
              <w:right w:type="dxa" w:w="100"/>
            </w:tcMar>
            <w:vAlign w:val="center"/>
          </w:tcPr>
          <w:p>
            <w:r>
              <w:rPr>
                <w:sz w:val="18"/>
                <w:szCs w:val="18"/>
              </w:rPr>
              <w:t xml:space="preserve">Non-utilized talent</w:t>
            </w:r>
          </w:p>
        </w:tc>
        <w:tc>
          <w:tcPr>
            <w:tcW w:type="dxa" w:w="3000"/>
            <w:tcMar>
              <w:top w:type="dxa" w:w="80"/>
              <w:left w:type="dxa" w:w="100"/>
              <w:bottom w:type="dxa" w:w="80"/>
              <w:right w:type="dxa" w:w="100"/>
            </w:tcMar>
            <w:vAlign w:val="center"/>
          </w:tcPr>
          <w:p>
            <w:r>
              <w:rPr>
                <w:sz w:val="18"/>
                <w:szCs w:val="18"/>
              </w:rPr>
              <w:t xml:space="preserve">Survey research collected but never translated into strategy.</w:t>
            </w:r>
          </w:p>
        </w:tc>
        <w:tc>
          <w:tcPr>
            <w:tcW w:type="dxa" w:w="2600"/>
            <w:tcMar>
              <w:top w:type="dxa" w:w="80"/>
              <w:left w:type="dxa" w:w="100"/>
              <w:bottom w:type="dxa" w:w="80"/>
              <w:right w:type="dxa" w:w="100"/>
            </w:tcMar>
            <w:vAlign w:val="center"/>
          </w:tcPr>
          <w:p>
            <w:r>
              <w:rPr>
                <w:sz w:val="18"/>
                <w:szCs w:val="18"/>
              </w:rPr>
              <w:t xml:space="preserve">Research feeds directly into UVP synthesis.</w:t>
            </w:r>
          </w:p>
        </w:tc>
        <w:tc>
          <w:tcPr>
            <w:tcW w:type="dxa" w:w="1200"/>
            <w:shd w:fill="FCE4E4" w:val="clear"/>
            <w:tcMar>
              <w:top w:type="dxa" w:w="80"/>
              <w:left w:type="dxa" w:w="100"/>
              <w:bottom w:type="dxa" w:w="80"/>
              <w:right w:type="dxa" w:w="100"/>
            </w:tcMar>
            <w:vAlign w:val="center"/>
          </w:tcPr>
          <w:p>
            <w:r>
              <w:rPr>
                <w:sz w:val="18"/>
                <w:szCs w:val="18"/>
              </w:rPr>
              <w:t xml:space="preserve">High</w:t>
            </w:r>
          </w:p>
        </w:tc>
      </w:tr>
      <w:tr>
        <w:tc>
          <w:tcPr>
            <w:tcW w:type="dxa" w:w="1600"/>
            <w:tcMar>
              <w:top w:type="dxa" w:w="80"/>
              <w:left w:type="dxa" w:w="100"/>
              <w:bottom w:type="dxa" w:w="80"/>
              <w:right w:type="dxa" w:w="100"/>
            </w:tcMar>
            <w:vAlign w:val="center"/>
          </w:tcPr>
          <w:p>
            <w:r>
              <w:rPr>
                <w:sz w:val="18"/>
                <w:szCs w:val="18"/>
              </w:rPr>
              <w:t xml:space="preserve">Transportation</w:t>
            </w:r>
          </w:p>
        </w:tc>
        <w:tc>
          <w:tcPr>
            <w:tcW w:type="dxa" w:w="3000"/>
            <w:tcMar>
              <w:top w:type="dxa" w:w="80"/>
              <w:left w:type="dxa" w:w="100"/>
              <w:bottom w:type="dxa" w:w="80"/>
              <w:right w:type="dxa" w:w="100"/>
            </w:tcMar>
            <w:vAlign w:val="center"/>
          </w:tcPr>
          <w:p>
            <w:r>
              <w:rPr>
                <w:sz w:val="18"/>
                <w:szCs w:val="18"/>
              </w:rPr>
              <w:t xml:space="preserve">No handoff from research findings to messaging/content creation.</w:t>
            </w:r>
          </w:p>
        </w:tc>
        <w:tc>
          <w:tcPr>
            <w:tcW w:type="dxa" w:w="2600"/>
            <w:tcMar>
              <w:top w:type="dxa" w:w="80"/>
              <w:left w:type="dxa" w:w="100"/>
              <w:bottom w:type="dxa" w:w="80"/>
              <w:right w:type="dxa" w:w="100"/>
            </w:tcMar>
            <w:vAlign w:val="center"/>
          </w:tcPr>
          <w:p>
            <w:r>
              <w:rPr>
                <w:sz w:val="18"/>
                <w:szCs w:val="18"/>
              </w:rPr>
              <w:t xml:space="preserve">Documented pipeline from research → messaging → content.</w:t>
            </w:r>
          </w:p>
        </w:tc>
        <w:tc>
          <w:tcPr>
            <w:tcW w:type="dxa" w:w="1200"/>
            <w:shd w:fill="FCE4E4" w:val="clear"/>
            <w:tcMar>
              <w:top w:type="dxa" w:w="80"/>
              <w:left w:type="dxa" w:w="100"/>
              <w:bottom w:type="dxa" w:w="80"/>
              <w:right w:type="dxa" w:w="100"/>
            </w:tcMar>
            <w:vAlign w:val="center"/>
          </w:tcPr>
          <w:p>
            <w:r>
              <w:rPr>
                <w:sz w:val="18"/>
                <w:szCs w:val="18"/>
              </w:rPr>
              <w:t xml:space="preserve">High</w:t>
            </w:r>
          </w:p>
        </w:tc>
      </w:tr>
      <w:tr>
        <w:tc>
          <w:tcPr>
            <w:tcW w:type="dxa" w:w="1600"/>
            <w:tcMar>
              <w:top w:type="dxa" w:w="80"/>
              <w:left w:type="dxa" w:w="100"/>
              <w:bottom w:type="dxa" w:w="80"/>
              <w:right w:type="dxa" w:w="100"/>
            </w:tcMar>
            <w:vAlign w:val="center"/>
          </w:tcPr>
          <w:p>
            <w:r>
              <w:rPr>
                <w:sz w:val="18"/>
                <w:szCs w:val="18"/>
              </w:rPr>
              <w:t xml:space="preserve">Defects</w:t>
            </w:r>
          </w:p>
        </w:tc>
        <w:tc>
          <w:tcPr>
            <w:tcW w:type="dxa" w:w="3000"/>
            <w:tcMar>
              <w:top w:type="dxa" w:w="80"/>
              <w:left w:type="dxa" w:w="100"/>
              <w:bottom w:type="dxa" w:w="80"/>
              <w:right w:type="dxa" w:w="100"/>
            </w:tcMar>
            <w:vAlign w:val="center"/>
          </w:tcPr>
          <w:p>
            <w:r>
              <w:rPr>
                <w:sz w:val="18"/>
                <w:szCs w:val="18"/>
              </w:rPr>
              <w:t xml:space="preserve">Generic messaging creates mismatched conversations, inconsistent follow-up.</w:t>
            </w:r>
          </w:p>
        </w:tc>
        <w:tc>
          <w:tcPr>
            <w:tcW w:type="dxa" w:w="2600"/>
            <w:tcMar>
              <w:top w:type="dxa" w:w="80"/>
              <w:left w:type="dxa" w:w="100"/>
              <w:bottom w:type="dxa" w:w="80"/>
              <w:right w:type="dxa" w:w="100"/>
            </w:tcMar>
            <w:vAlign w:val="center"/>
          </w:tcPr>
          <w:p>
            <w:r>
              <w:rPr>
                <w:sz w:val="18"/>
                <w:szCs w:val="18"/>
              </w:rPr>
              <w:t xml:space="preserve">Messaging targeted to survey-identified motivations.</w:t>
            </w:r>
          </w:p>
        </w:tc>
        <w:tc>
          <w:tcPr>
            <w:tcW w:type="dxa" w:w="1200"/>
            <w:shd w:fill="FCE4E4" w:val="clear"/>
            <w:tcMar>
              <w:top w:type="dxa" w:w="80"/>
              <w:left w:type="dxa" w:w="100"/>
              <w:bottom w:type="dxa" w:w="80"/>
              <w:right w:type="dxa" w:w="100"/>
            </w:tcMar>
            <w:vAlign w:val="center"/>
          </w:tcPr>
          <w:p>
            <w:r>
              <w:rPr>
                <w:sz w:val="18"/>
                <w:szCs w:val="18"/>
              </w:rPr>
              <w:t xml:space="preserve">High</w:t>
            </w:r>
          </w:p>
        </w:tc>
      </w:tr>
      <w:tr>
        <w:tc>
          <w:tcPr>
            <w:tcW w:type="dxa" w:w="1600"/>
            <w:tcMar>
              <w:top w:type="dxa" w:w="80"/>
              <w:left w:type="dxa" w:w="100"/>
              <w:bottom w:type="dxa" w:w="80"/>
              <w:right w:type="dxa" w:w="100"/>
            </w:tcMar>
            <w:vAlign w:val="center"/>
          </w:tcPr>
          <w:p>
            <w:r>
              <w:rPr>
                <w:sz w:val="18"/>
                <w:szCs w:val="18"/>
              </w:rPr>
              <w:t xml:space="preserve">Overproduction</w:t>
            </w:r>
          </w:p>
        </w:tc>
        <w:tc>
          <w:tcPr>
            <w:tcW w:type="dxa" w:w="3000"/>
            <w:tcMar>
              <w:top w:type="dxa" w:w="80"/>
              <w:left w:type="dxa" w:w="100"/>
              <w:bottom w:type="dxa" w:w="80"/>
              <w:right w:type="dxa" w:w="100"/>
            </w:tcMar>
            <w:vAlign w:val="center"/>
          </w:tcPr>
          <w:p>
            <w:r>
              <w:rPr>
                <w:sz w:val="18"/>
                <w:szCs w:val="18"/>
              </w:rPr>
              <w:t xml:space="preserve">Content created without a documented framework.</w:t>
            </w:r>
          </w:p>
        </w:tc>
        <w:tc>
          <w:tcPr>
            <w:tcW w:type="dxa" w:w="2600"/>
            <w:tcMar>
              <w:top w:type="dxa" w:w="80"/>
              <w:left w:type="dxa" w:w="100"/>
              <w:bottom w:type="dxa" w:w="80"/>
              <w:right w:type="dxa" w:w="100"/>
            </w:tcMar>
            <w:vAlign w:val="center"/>
          </w:tcPr>
          <w:p>
            <w:r>
              <w:rPr>
                <w:sz w:val="18"/>
                <w:szCs w:val="18"/>
              </w:rPr>
              <w:t xml:space="preserve">Content calendar tied to messaging pillars.</w:t>
            </w:r>
          </w:p>
        </w:tc>
        <w:tc>
          <w:tcPr>
            <w:tcW w:type="dxa" w:w="1200"/>
            <w:shd w:fill="FFF3CD" w:val="clear"/>
            <w:tcMar>
              <w:top w:type="dxa" w:w="80"/>
              <w:left w:type="dxa" w:w="100"/>
              <w:bottom w:type="dxa" w:w="80"/>
              <w:right w:type="dxa" w:w="100"/>
            </w:tcMar>
            <w:vAlign w:val="center"/>
          </w:tcPr>
          <w:p>
            <w:r>
              <w:rPr>
                <w:sz w:val="18"/>
                <w:szCs w:val="18"/>
              </w:rPr>
              <w:t xml:space="preserve">Medium</w:t>
            </w:r>
          </w:p>
        </w:tc>
      </w:tr>
      <w:tr>
        <w:tc>
          <w:tcPr>
            <w:tcW w:type="dxa" w:w="1600"/>
            <w:tcMar>
              <w:top w:type="dxa" w:w="80"/>
              <w:left w:type="dxa" w:w="100"/>
              <w:bottom w:type="dxa" w:w="80"/>
              <w:right w:type="dxa" w:w="100"/>
            </w:tcMar>
            <w:vAlign w:val="center"/>
          </w:tcPr>
          <w:p>
            <w:r>
              <w:rPr>
                <w:sz w:val="18"/>
                <w:szCs w:val="18"/>
              </w:rPr>
              <w:t xml:space="preserve">Waiting</w:t>
            </w:r>
          </w:p>
        </w:tc>
        <w:tc>
          <w:tcPr>
            <w:tcW w:type="dxa" w:w="3000"/>
            <w:tcMar>
              <w:top w:type="dxa" w:w="80"/>
              <w:left w:type="dxa" w:w="100"/>
              <w:bottom w:type="dxa" w:w="80"/>
              <w:right w:type="dxa" w:w="100"/>
            </w:tcMar>
            <w:vAlign w:val="center"/>
          </w:tcPr>
          <w:p>
            <w:r>
              <w:rPr>
                <w:sz w:val="18"/>
                <w:szCs w:val="18"/>
              </w:rPr>
              <w:t xml:space="preserve">Leads go cold with no follow-up sequence; insights sit unapplied.</w:t>
            </w:r>
          </w:p>
        </w:tc>
        <w:tc>
          <w:tcPr>
            <w:tcW w:type="dxa" w:w="2600"/>
            <w:tcMar>
              <w:top w:type="dxa" w:w="80"/>
              <w:left w:type="dxa" w:w="100"/>
              <w:bottom w:type="dxa" w:w="80"/>
              <w:right w:type="dxa" w:w="100"/>
            </w:tcMar>
            <w:vAlign w:val="center"/>
          </w:tcPr>
          <w:p>
            <w:r>
              <w:rPr>
                <w:sz w:val="18"/>
                <w:szCs w:val="18"/>
              </w:rPr>
              <w:t xml:space="preserve">Defined lead-nurture sequence in place.</w:t>
            </w:r>
          </w:p>
        </w:tc>
        <w:tc>
          <w:tcPr>
            <w:tcW w:type="dxa" w:w="1200"/>
            <w:shd w:fill="FFF3CD" w:val="clear"/>
            <w:tcMar>
              <w:top w:type="dxa" w:w="80"/>
              <w:left w:type="dxa" w:w="100"/>
              <w:bottom w:type="dxa" w:w="80"/>
              <w:right w:type="dxa" w:w="100"/>
            </w:tcMar>
            <w:vAlign w:val="center"/>
          </w:tcPr>
          <w:p>
            <w:r>
              <w:rPr>
                <w:sz w:val="18"/>
                <w:szCs w:val="18"/>
              </w:rPr>
              <w:t xml:space="preserve">Medium</w:t>
            </w:r>
          </w:p>
        </w:tc>
      </w:tr>
      <w:tr>
        <w:tc>
          <w:tcPr>
            <w:tcW w:type="dxa" w:w="1600"/>
            <w:tcMar>
              <w:top w:type="dxa" w:w="80"/>
              <w:left w:type="dxa" w:w="100"/>
              <w:bottom w:type="dxa" w:w="80"/>
              <w:right w:type="dxa" w:w="100"/>
            </w:tcMar>
            <w:vAlign w:val="center"/>
          </w:tcPr>
          <w:p>
            <w:r>
              <w:rPr>
                <w:sz w:val="18"/>
                <w:szCs w:val="18"/>
              </w:rPr>
              <w:t xml:space="preserve">Motion</w:t>
            </w:r>
          </w:p>
        </w:tc>
        <w:tc>
          <w:tcPr>
            <w:tcW w:type="dxa" w:w="3000"/>
            <w:tcMar>
              <w:top w:type="dxa" w:w="80"/>
              <w:left w:type="dxa" w:w="100"/>
              <w:bottom w:type="dxa" w:w="80"/>
              <w:right w:type="dxa" w:w="100"/>
            </w:tcMar>
            <w:vAlign w:val="center"/>
          </w:tcPr>
          <w:p>
            <w:r>
              <w:rPr>
                <w:sz w:val="18"/>
                <w:szCs w:val="18"/>
              </w:rPr>
              <w:t xml:space="preserve">Consultations improvised each time, no UVP-based script.</w:t>
            </w:r>
          </w:p>
        </w:tc>
        <w:tc>
          <w:tcPr>
            <w:tcW w:type="dxa" w:w="2600"/>
            <w:tcMar>
              <w:top w:type="dxa" w:w="80"/>
              <w:left w:type="dxa" w:w="100"/>
              <w:bottom w:type="dxa" w:w="80"/>
              <w:right w:type="dxa" w:w="100"/>
            </w:tcMar>
            <w:vAlign w:val="center"/>
          </w:tcPr>
          <w:p>
            <w:r>
              <w:rPr>
                <w:sz w:val="18"/>
                <w:szCs w:val="18"/>
              </w:rPr>
              <w:t xml:space="preserve">Consultation talking points aligned to finalized UVP.</w:t>
            </w:r>
          </w:p>
        </w:tc>
        <w:tc>
          <w:tcPr>
            <w:tcW w:type="dxa" w:w="1200"/>
            <w:shd w:fill="FFF3CD" w:val="clear"/>
            <w:tcMar>
              <w:top w:type="dxa" w:w="80"/>
              <w:left w:type="dxa" w:w="100"/>
              <w:bottom w:type="dxa" w:w="80"/>
              <w:right w:type="dxa" w:w="100"/>
            </w:tcMar>
            <w:vAlign w:val="center"/>
          </w:tcPr>
          <w:p>
            <w:r>
              <w:rPr>
                <w:sz w:val="18"/>
                <w:szCs w:val="18"/>
              </w:rPr>
              <w:t xml:space="preserve">Medium</w:t>
            </w:r>
          </w:p>
        </w:tc>
      </w:tr>
      <w:tr>
        <w:tc>
          <w:tcPr>
            <w:tcW w:type="dxa" w:w="1600"/>
            <w:tcMar>
              <w:top w:type="dxa" w:w="80"/>
              <w:left w:type="dxa" w:w="100"/>
              <w:bottom w:type="dxa" w:w="80"/>
              <w:right w:type="dxa" w:w="100"/>
            </w:tcMar>
            <w:vAlign w:val="center"/>
          </w:tcPr>
          <w:p>
            <w:r>
              <w:rPr>
                <w:sz w:val="18"/>
                <w:szCs w:val="18"/>
              </w:rPr>
              <w:t xml:space="preserve">Inventory</w:t>
            </w:r>
          </w:p>
        </w:tc>
        <w:tc>
          <w:tcPr>
            <w:tcW w:type="dxa" w:w="3000"/>
            <w:tcMar>
              <w:top w:type="dxa" w:w="80"/>
              <w:left w:type="dxa" w:w="100"/>
              <w:bottom w:type="dxa" w:w="80"/>
              <w:right w:type="dxa" w:w="100"/>
            </w:tcMar>
            <w:vAlign w:val="center"/>
          </w:tcPr>
          <w:p>
            <w:r>
              <w:rPr>
                <w:sz w:val="18"/>
                <w:szCs w:val="18"/>
              </w:rPr>
              <w:t xml:space="preserve">Undocumented processes (lead gen, budget) sit as invisible backlog.</w:t>
            </w:r>
          </w:p>
        </w:tc>
        <w:tc>
          <w:tcPr>
            <w:tcW w:type="dxa" w:w="2600"/>
            <w:tcMar>
              <w:top w:type="dxa" w:w="80"/>
              <w:left w:type="dxa" w:w="100"/>
              <w:bottom w:type="dxa" w:w="80"/>
              <w:right w:type="dxa" w:w="100"/>
            </w:tcMar>
            <w:vAlign w:val="center"/>
          </w:tcPr>
          <w:p>
            <w:r>
              <w:rPr>
                <w:sz w:val="18"/>
                <w:szCs w:val="18"/>
              </w:rPr>
              <w:t xml:space="preserve">Lead-gen and budget processes documented and visible.</w:t>
            </w:r>
          </w:p>
        </w:tc>
        <w:tc>
          <w:tcPr>
            <w:tcW w:type="dxa" w:w="1200"/>
            <w:shd w:fill="E2F0D9" w:val="clear"/>
            <w:tcMar>
              <w:top w:type="dxa" w:w="80"/>
              <w:left w:type="dxa" w:w="100"/>
              <w:bottom w:type="dxa" w:w="80"/>
              <w:right w:type="dxa" w:w="100"/>
            </w:tcMar>
            <w:vAlign w:val="center"/>
          </w:tcPr>
          <w:p>
            <w:r>
              <w:rPr>
                <w:sz w:val="18"/>
                <w:szCs w:val="18"/>
              </w:rPr>
              <w:t xml:space="preserve">Low</w:t>
            </w:r>
          </w:p>
        </w:tc>
      </w:tr>
      <w:tr>
        <w:tc>
          <w:tcPr>
            <w:tcW w:type="dxa" w:w="1600"/>
            <w:tcMar>
              <w:top w:type="dxa" w:w="80"/>
              <w:left w:type="dxa" w:w="100"/>
              <w:bottom w:type="dxa" w:w="80"/>
              <w:right w:type="dxa" w:w="100"/>
            </w:tcMar>
            <w:vAlign w:val="center"/>
          </w:tcPr>
          <w:p>
            <w:r>
              <w:rPr>
                <w:sz w:val="18"/>
                <w:szCs w:val="18"/>
              </w:rPr>
              <w:t xml:space="preserve">Extra-processing</w:t>
            </w:r>
          </w:p>
        </w:tc>
        <w:tc>
          <w:tcPr>
            <w:tcW w:type="dxa" w:w="3000"/>
            <w:tcMar>
              <w:top w:type="dxa" w:w="80"/>
              <w:left w:type="dxa" w:w="100"/>
              <w:bottom w:type="dxa" w:w="80"/>
              <w:right w:type="dxa" w:w="100"/>
            </w:tcMar>
            <w:vAlign w:val="center"/>
          </w:tcPr>
          <w:p>
            <w:r>
              <w:rPr>
                <w:sz w:val="18"/>
                <w:szCs w:val="18"/>
              </w:rPr>
              <w:t xml:space="preserve">Pricing negotiated ad hoc per client, no defined tiers.</w:t>
            </w:r>
          </w:p>
        </w:tc>
        <w:tc>
          <w:tcPr>
            <w:tcW w:type="dxa" w:w="2600"/>
            <w:tcMar>
              <w:top w:type="dxa" w:w="80"/>
              <w:left w:type="dxa" w:w="100"/>
              <w:bottom w:type="dxa" w:w="80"/>
              <w:right w:type="dxa" w:w="100"/>
            </w:tcMar>
            <w:vAlign w:val="center"/>
          </w:tcPr>
          <w:p>
            <w:r>
              <w:rPr>
                <w:sz w:val="18"/>
                <w:szCs w:val="18"/>
              </w:rPr>
              <w:t xml:space="preserve">2–3 defined pricing tiers reduce per-sale negotiation.</w:t>
            </w:r>
          </w:p>
        </w:tc>
        <w:tc>
          <w:tcPr>
            <w:tcW w:type="dxa" w:w="1200"/>
            <w:shd w:fill="E2F0D9" w:val="clear"/>
            <w:tcMar>
              <w:top w:type="dxa" w:w="80"/>
              <w:left w:type="dxa" w:w="100"/>
              <w:bottom w:type="dxa" w:w="80"/>
              <w:right w:type="dxa" w:w="100"/>
            </w:tcMar>
            <w:vAlign w:val="center"/>
          </w:tcPr>
          <w:p>
            <w:r>
              <w:rPr>
                <w:sz w:val="18"/>
                <w:szCs w:val="18"/>
              </w:rPr>
              <w:t xml:space="preserve">Low</w:t>
            </w:r>
          </w:p>
        </w:tc>
      </w:tr>
    </w:tbl>
    <w:p>
      <w:pPr>
        <w:spacing w:after="160"/>
      </w:pPr>
      <w:r>
        <w:t xml:space="preserve"> </w:t>
      </w:r>
    </w:p>
    <w:p>
      <w:pPr>
        <w:pStyle w:val="Heading1"/>
        <w:spacing w:after="160" w:before="320"/>
      </w:pPr>
      <w:r>
        <w:rPr>
          <w:b/>
          <w:bCs/>
          <w:color w:val="1F3864"/>
        </w:rPr>
        <w:t xml:space="preserve">7. Prioritized Closure Roadmap</w:t>
      </w:r>
    </w:p>
    <w:p>
      <w:pPr>
        <w:spacing w:after="160"/>
      </w:pPr>
      <w:r>
        <w:t xml:space="preserve">Gap closure is sequenced using the same three-phase structure as the BRD's Process Improvement Roadmap (Section 5 / Appendix E), so this Gap Analysis can be executed alongside the existing UVP rollout plan rather than as a separate initiative.</w:t>
      </w:r>
    </w:p>
    <w:p>
      <w:pPr>
        <w:pStyle w:val="Heading2"/>
        <w:spacing w:after="120" w:before="240"/>
      </w:pPr>
      <w:r>
        <w:rPr>
          <w:b/>
          <w:bCs/>
          <w:color w:val="1F3864"/>
        </w:rPr>
        <w:t xml:space="preserve">Phase 1 — Quick Wins (0–30 days)</w:t>
      </w:r>
    </w:p>
    <w:p>
      <w:pPr>
        <w:pStyle w:val="ListParagraph"/>
        <w:numPr>
          <w:ilvl w:val="0"/>
          <w:numId w:val="1"/>
        </w:numPr>
        <w:spacing w:after="80"/>
      </w:pPr>
      <w:r>
        <w:t xml:space="preserve">Close GAP-S1 / GAP-P1: synthesize survey findings into a working UVP draft</w:t>
      </w:r>
    </w:p>
    <w:p>
      <w:pPr>
        <w:pStyle w:val="ListParagraph"/>
        <w:numPr>
          <w:ilvl w:val="0"/>
          <w:numId w:val="1"/>
        </w:numPr>
        <w:spacing w:after="80"/>
      </w:pPr>
      <w:r>
        <w:t xml:space="preserve">Close GAP-P5: decide the marketing ownership model (hire, outsource, or allocate)</w:t>
      </w:r>
    </w:p>
    <w:p>
      <w:pPr>
        <w:pStyle w:val="ListParagraph"/>
        <w:numPr>
          <w:ilvl w:val="0"/>
          <w:numId w:val="1"/>
        </w:numPr>
        <w:spacing w:after="80"/>
      </w:pPr>
      <w:r>
        <w:t xml:space="preserve">Close GAP-P10: define 3–5 core marketing KPIs and a simple tracking method</w:t>
      </w:r>
    </w:p>
    <w:p>
      <w:pPr>
        <w:pStyle w:val="Heading2"/>
        <w:spacing w:after="120" w:before="240"/>
      </w:pPr>
      <w:r>
        <w:rPr>
          <w:b/>
          <w:bCs/>
          <w:color w:val="1F3864"/>
        </w:rPr>
        <w:t xml:space="preserve">Phase 2 — Foundational Build (30–90 days)</w:t>
      </w:r>
    </w:p>
    <w:p>
      <w:pPr>
        <w:pStyle w:val="ListParagraph"/>
        <w:numPr>
          <w:ilvl w:val="0"/>
          <w:numId w:val="1"/>
        </w:numPr>
        <w:spacing w:after="80"/>
      </w:pPr>
      <w:r>
        <w:t xml:space="preserve">Close GAP-S2 / GAP-P2: finalize UVP and brand positioning guide</w:t>
      </w:r>
    </w:p>
    <w:p>
      <w:pPr>
        <w:pStyle w:val="ListParagraph"/>
        <w:numPr>
          <w:ilvl w:val="0"/>
          <w:numId w:val="1"/>
        </w:numPr>
        <w:spacing w:after="80"/>
      </w:pPr>
      <w:r>
        <w:t xml:space="preserve">Close GAP-S3 / GAP-P3: build the messaging framework and content calendar</w:t>
      </w:r>
    </w:p>
    <w:p>
      <w:pPr>
        <w:pStyle w:val="ListParagraph"/>
        <w:numPr>
          <w:ilvl w:val="0"/>
          <w:numId w:val="1"/>
        </w:numPr>
        <w:spacing w:after="80"/>
      </w:pPr>
      <w:r>
        <w:t xml:space="preserve">Close GAP-S5 / GAP-P4: design 2–3 pricing/package tiers (addresses N-01, N-06 requirement gaps)</w:t>
      </w:r>
    </w:p>
    <w:p>
      <w:pPr>
        <w:pStyle w:val="ListParagraph"/>
        <w:numPr>
          <w:ilvl w:val="0"/>
          <w:numId w:val="1"/>
        </w:numPr>
        <w:spacing w:after="80"/>
      </w:pPr>
      <w:r>
        <w:t xml:space="preserve">Close GAP-P9 (Motion/Extra-processing waste): align consultation process to the finalized UVP</w:t>
      </w:r>
    </w:p>
    <w:p>
      <w:pPr>
        <w:pStyle w:val="Heading2"/>
        <w:spacing w:after="120" w:before="240"/>
      </w:pPr>
      <w:r>
        <w:rPr>
          <w:b/>
          <w:bCs/>
          <w:color w:val="1F3864"/>
        </w:rPr>
        <w:t xml:space="preserve">Phase 3 — Scale &amp; Sustain (90+ days)</w:t>
      </w:r>
    </w:p>
    <w:p>
      <w:pPr>
        <w:pStyle w:val="ListParagraph"/>
        <w:numPr>
          <w:ilvl w:val="0"/>
          <w:numId w:val="1"/>
        </w:numPr>
        <w:spacing w:after="80"/>
      </w:pPr>
      <w:r>
        <w:t xml:space="preserve">Close GAP-S4 / GAP-P6: conduct formal competitor analysis</w:t>
      </w:r>
    </w:p>
    <w:p>
      <w:pPr>
        <w:pStyle w:val="ListParagraph"/>
        <w:numPr>
          <w:ilvl w:val="0"/>
          <w:numId w:val="1"/>
        </w:numPr>
        <w:spacing w:after="80"/>
      </w:pPr>
      <w:r>
        <w:t xml:space="preserve">Close GAP-P8 / GAP-P9: define lead-generation channels and follow-up/nurture sequence</w:t>
      </w:r>
    </w:p>
    <w:p>
      <w:pPr>
        <w:pStyle w:val="ListParagraph"/>
        <w:numPr>
          <w:ilvl w:val="0"/>
          <w:numId w:val="1"/>
        </w:numPr>
        <w:spacing w:after="80"/>
      </w:pPr>
      <w:r>
        <w:t xml:space="preserve">Audit and select CRM/analytics tools; close remaining Low-priority requirement gaps (N-04 childcare, N-07 upsell path, N-08 confidentiality policy)</w:t>
      </w:r>
    </w:p>
    <w:p>
      <w:pPr>
        <w:pStyle w:val="ListParagraph"/>
        <w:numPr>
          <w:ilvl w:val="0"/>
          <w:numId w:val="1"/>
        </w:numPr>
        <w:spacing w:after="80"/>
      </w:pPr>
      <w:r>
        <w:t xml:space="preserve">Set an annual marketing budget tied to the finalized pricing plan</w:t>
      </w:r>
    </w:p>
    <w:p>
      <w:pPr>
        <w:pStyle w:val="Heading1"/>
        <w:spacing w:after="160" w:before="320"/>
      </w:pPr>
      <w:r>
        <w:rPr>
          <w:b/>
          <w:bCs/>
          <w:color w:val="1F3864"/>
        </w:rPr>
        <w:t xml:space="preserve">8. Risk of Not Closing Gaps</w:t>
      </w:r>
    </w:p>
    <w:p>
      <w:pPr>
        <w:spacing w:after="160"/>
      </w:pPr>
      <w:r>
        <w:t xml:space="preserve">If the strategic and process gaps in Sections 3–4 remain open, the requirement gaps in Section 5 have no mechanism to be resolved — pricing tiers, session-length standards, and progress-tracking cannot be built without a finalized UVP to anchor them. The business would continue to be misperceived as a traditional spa or self-care app (BRD Section 2.1), and the desired outcomes in BRD Section 2.3 (25–40% booking growth, improved retention, brand recognition among high-earning professionals) would remain unreachable.</w:t>
      </w:r>
    </w:p>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08080"/>
        <w:sz w:val="16"/>
        <w:szCs w:val="16"/>
      </w:rPr>
      <w:t xml:space="preserve">Page </w:t>
    </w:r>
    <w:r>
      <w:rPr>
        <w:color w:val="808080"/>
        <w:sz w:val="16"/>
        <w:szCs w:val="16"/>
      </w:rPr>
      <w:fldChar w:fldCharType="begin"/>
      <w:instrText xml:space="preserve">PAGE</w:instrText>
      <w:fldChar w:fldCharType="separate"/>
      <w:fldChar w:fldCharType="end"/>
    </w:r>
    <w:r>
      <w:rPr>
        <w:color w:val="808080"/>
        <w:sz w:val="16"/>
        <w:szCs w:val="16"/>
      </w:rPr>
      <w:t xml:space="preserve"> of </w:t>
    </w:r>
    <w:r>
      <w:rPr>
        <w:color w:val="808080"/>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i/>
        <w:iCs/>
        <w:color w:val="808080"/>
        <w:sz w:val="16"/>
        <w:szCs w:val="16"/>
      </w:rPr>
      <w:t xml:space="preserve">Haimaline Holistic Harmony — Gap Analysis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2026-07-17T15:10:26.944Z</dcterms:created>
  <dcterms:modified xsi:type="dcterms:W3CDTF">2026-07-17T15:10:26.955Z</dcterms:modified>
</cp:coreProperties>
</file>

<file path=docProps/custom.xml><?xml version="1.0" encoding="utf-8"?>
<Properties xmlns="http://schemas.openxmlformats.org/officeDocument/2006/custom-properties" xmlns:vt="http://schemas.openxmlformats.org/officeDocument/2006/docPropsVTypes"/>
</file>