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F4B16" w14:textId="77777777" w:rsidR="0003368D" w:rsidRPr="00D957F3" w:rsidRDefault="0003368D" w:rsidP="0003368D">
      <w:pPr>
        <w:spacing w:after="0" w:line="240" w:lineRule="auto"/>
      </w:pPr>
    </w:p>
    <w:p w14:paraId="4C434AB3" w14:textId="7A08DF63" w:rsidR="00632434" w:rsidRPr="00D957F3" w:rsidRDefault="009E5CC6" w:rsidP="006E7BC3">
      <w:pPr>
        <w:spacing w:after="0" w:line="240" w:lineRule="auto"/>
      </w:pPr>
      <w:r w:rsidRPr="00D957F3">
        <w:rPr>
          <w:b/>
          <w:bCs/>
        </w:rPr>
        <w:t>Results</w:t>
      </w:r>
    </w:p>
    <w:p w14:paraId="2FBB66A3" w14:textId="71D1BDA2" w:rsidR="00793975" w:rsidRPr="00D957F3" w:rsidRDefault="00793975" w:rsidP="0003368D">
      <w:pPr>
        <w:spacing w:after="0" w:line="240" w:lineRule="auto"/>
        <w:rPr>
          <w:b/>
          <w:bCs/>
        </w:rPr>
      </w:pPr>
      <w:r w:rsidRPr="00D957F3">
        <w:rPr>
          <w:b/>
          <w:bCs/>
        </w:rPr>
        <w:t>Behavioral measures</w:t>
      </w:r>
    </w:p>
    <w:p w14:paraId="34408EBD" w14:textId="60BFA636" w:rsidR="001B2022" w:rsidRPr="00D957F3" w:rsidRDefault="001365F2" w:rsidP="0003368D">
      <w:pPr>
        <w:spacing w:after="0" w:line="240" w:lineRule="auto"/>
        <w:ind w:firstLine="720"/>
      </w:pPr>
      <w:r>
        <w:rPr>
          <w:noProof/>
        </w:rPr>
        <mc:AlternateContent>
          <mc:Choice Requires="wps">
            <w:drawing>
              <wp:anchor distT="45720" distB="45720" distL="114300" distR="114300" simplePos="0" relativeHeight="251663360" behindDoc="0" locked="0" layoutInCell="1" allowOverlap="1" wp14:anchorId="09FF4126" wp14:editId="1C44B0FC">
                <wp:simplePos x="0" y="0"/>
                <wp:positionH relativeFrom="column">
                  <wp:posOffset>80010</wp:posOffset>
                </wp:positionH>
                <wp:positionV relativeFrom="paragraph">
                  <wp:posOffset>855345</wp:posOffset>
                </wp:positionV>
                <wp:extent cx="5636895" cy="4436110"/>
                <wp:effectExtent l="0" t="0" r="20955" b="21590"/>
                <wp:wrapSquare wrapText="bothSides"/>
                <wp:docPr id="511614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6895" cy="4436110"/>
                        </a:xfrm>
                        <a:prstGeom prst="rect">
                          <a:avLst/>
                        </a:prstGeom>
                        <a:solidFill>
                          <a:srgbClr val="FFFFFF"/>
                        </a:solidFill>
                        <a:ln w="9525">
                          <a:solidFill>
                            <a:srgbClr val="000000"/>
                          </a:solidFill>
                          <a:miter lim="800000"/>
                          <a:headEnd/>
                          <a:tailEnd/>
                        </a:ln>
                      </wps:spPr>
                      <wps:txbx>
                        <w:txbxContent>
                          <w:p w14:paraId="00B7A088" w14:textId="5BCFBE88" w:rsidR="001365F2" w:rsidRDefault="00D622A1" w:rsidP="00613FA8">
                            <w:pPr>
                              <w:spacing w:line="240" w:lineRule="auto"/>
                            </w:pPr>
                            <w:r>
                              <w:rPr>
                                <w:noProof/>
                              </w:rPr>
                              <w:drawing>
                                <wp:inline distT="0" distB="0" distL="0" distR="0" wp14:anchorId="64C80DE2" wp14:editId="32C7581B">
                                  <wp:extent cx="5445125" cy="1728561"/>
                                  <wp:effectExtent l="0" t="0" r="3175" b="5080"/>
                                  <wp:docPr id="2277974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40205" name="Picture 1538640205"/>
                                          <pic:cNvPicPr/>
                                        </pic:nvPicPr>
                                        <pic:blipFill>
                                          <a:blip r:embed="rId8">
                                            <a:extLst>
                                              <a:ext uri="{28A0092B-C50C-407E-A947-70E740481C1C}">
                                                <a14:useLocalDpi xmlns:a14="http://schemas.microsoft.com/office/drawing/2010/main" val="0"/>
                                              </a:ext>
                                            </a:extLst>
                                          </a:blip>
                                          <a:stretch>
                                            <a:fillRect/>
                                          </a:stretch>
                                        </pic:blipFill>
                                        <pic:spPr>
                                          <a:xfrm>
                                            <a:off x="0" y="0"/>
                                            <a:ext cx="5445125" cy="1728561"/>
                                          </a:xfrm>
                                          <a:prstGeom prst="rect">
                                            <a:avLst/>
                                          </a:prstGeom>
                                        </pic:spPr>
                                      </pic:pic>
                                    </a:graphicData>
                                  </a:graphic>
                                </wp:inline>
                              </w:drawing>
                            </w:r>
                            <w:r w:rsidRPr="00D622A1">
                              <w:rPr>
                                <w:noProof/>
                              </w:rPr>
                              <w:t xml:space="preserve">Fig 3. </w:t>
                            </w:r>
                            <w:r>
                              <w:rPr>
                                <w:noProof/>
                              </w:rPr>
                              <w:t xml:space="preserve">Significant effects of treatment and genotype on distance traveled (A), treatment on basic movement (B) and  genotype on hind limb clasping (C). </w:t>
                            </w:r>
                            <w:r w:rsidRPr="00D622A1">
                              <w:rPr>
                                <w:noProof/>
                              </w:rPr>
                              <w:t>Behavioral data from PS19 and Non-Tg mice following systemic PAMP or Vehicle treatment. (A) Total distance traveled in the open field behavioral test. A significant main effect of genotype (p = 0.046) reflected PS19-related hyperactivity, and a significant main effect of treatment (p = 0.002) reflected PAMP-induced hypoactivity. (B) Basic movement activity. A significant main effect of treatment (p = 0.002) revealed reduced activity in PAMP-treated mice compared to Vehicle controls. (C) Hindlimb clasping scores. A significant main effect of genotype was observed, with PS19 mice demonstrating increased clasping deficits (p = 0.010). No significant genotype × treatment interactions were observed for any measure (all p &gt; 0.05). Data are presented as median with IQR. Total distance traveled and basic movement activity: PS19 PAMPs n = 15, PS19 Vehicle n = 15, Non-Tg PAMPs n = 19, and Non-Tg Vehicle n = 17; Hindlimb clasping: PS19 PAMPs n = 12, PS19 Vehicle n = 13, Non-Tg PAMPs n = 15, and Non-Tg Vehicle n = 16. Main effects and interactions were assessed using ART-ANOVA.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FF4126" id="_x0000_t202" coordsize="21600,21600" o:spt="202" path="m,l,21600r21600,l21600,xe">
                <v:stroke joinstyle="miter"/>
                <v:path gradientshapeok="t" o:connecttype="rect"/>
              </v:shapetype>
              <v:shape id="Text Box 2" o:spid="_x0000_s1026" type="#_x0000_t202" style="position:absolute;left:0;text-align:left;margin-left:6.3pt;margin-top:67.35pt;width:443.85pt;height:349.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">
                <v:textbox>
                  <w:txbxContent>
                    <w:p w14:paraId="00B7A088" w14:textId="5BCFBE88" w:rsidR="001365F2" w:rsidRDefault="00D622A1" w:rsidP="00613FA8">
                      <w:pPr>
                        <w:spacing w:line="240" w:lineRule="auto"/>
                      </w:pPr>
                      <w:r>
                        <w:rPr>
                          <w:noProof/>
                        </w:rPr>
                        <w:drawing>
                          <wp:inline distT="0" distB="0" distL="0" distR="0" wp14:anchorId="64C80DE2" wp14:editId="32C7581B">
                            <wp:extent cx="5445125" cy="1728561"/>
                            <wp:effectExtent l="0" t="0" r="3175" b="5080"/>
                            <wp:docPr id="2277974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40205" name="Picture 1538640205"/>
                                    <pic:cNvPicPr/>
                                  </pic:nvPicPr>
                                  <pic:blipFill>
                                    <a:blip r:embed="rId8">
                                      <a:extLst>
                                        <a:ext uri="{28A0092B-C50C-407E-A947-70E740481C1C}">
                                          <a14:useLocalDpi xmlns:a14="http://schemas.microsoft.com/office/drawing/2010/main" val="0"/>
                                        </a:ext>
                                      </a:extLst>
                                    </a:blip>
                                    <a:stretch>
                                      <a:fillRect/>
                                    </a:stretch>
                                  </pic:blipFill>
                                  <pic:spPr>
                                    <a:xfrm>
                                      <a:off x="0" y="0"/>
                                      <a:ext cx="5445125" cy="1728561"/>
                                    </a:xfrm>
                                    <a:prstGeom prst="rect">
                                      <a:avLst/>
                                    </a:prstGeom>
                                  </pic:spPr>
                                </pic:pic>
                              </a:graphicData>
                            </a:graphic>
                          </wp:inline>
                        </w:drawing>
                      </w:r>
                      <w:r w:rsidRPr="00D622A1">
                        <w:rPr>
                          <w:noProof/>
                        </w:rPr>
                        <w:t xml:space="preserve">Fig 3. </w:t>
                      </w:r>
                      <w:r>
                        <w:rPr>
                          <w:noProof/>
                        </w:rPr>
                        <w:t xml:space="preserve">Significant effects of treatment and genotype on distance traveled (A), treatment on basic movement (B) and  genotype on hind limb clasping (C). </w:t>
                      </w:r>
                      <w:r w:rsidRPr="00D622A1">
                        <w:rPr>
                          <w:noProof/>
                        </w:rPr>
                        <w:t>Behavioral data from PS19 and Non-Tg mice following systemic PAMP or Vehicle treatment. (A) Total distance traveled in the open field behavioral test. A significant main effect of genotype (p = 0.046) reflected PS19-related hyperactivity, and a significant main effect of treatment (p = 0.002) reflected PAMP-induced hypoactivity. (B) Basic movement activity. A significant main effect of treatment (p = 0.002) revealed reduced activity in PAMP-treated mice compared to Vehicle controls. (C) Hindlimb clasping scores. A significant main effect of genotype was observed, with PS19 mice demonstrating increased clasping deficits (p = 0.010). No significant genotype × treatment interactions were observed for any measure (all p &gt; 0.05). Data are presented as median with IQR. Total distance traveled and basic movement activity: PS19 PAMPs n = 15, PS19 Vehicle n = 15, Non-Tg PAMPs n = 19, and Non-Tg Vehicle n = 17; Hindlimb clasping: PS19 PAMPs n = 12, PS19 Vehicle n = 13, Non-Tg PAMPs n = 15, and Non-Tg Vehicle n = 16. Main effects and interactions were assessed using ART-ANOVA.</w:t>
                      </w:r>
                    </w:p>
                  </w:txbxContent>
                </v:textbox>
                <w10:wrap type="square"/>
              </v:shape>
            </w:pict>
          </mc:Fallback>
        </mc:AlternateContent>
      </w:r>
      <w:r w:rsidR="00151A28" w:rsidRPr="00B507C3">
        <w:t>Behavioral assessments included motor activity (open field),</w:t>
      </w:r>
      <w:r w:rsidR="00544ABE" w:rsidRPr="00B507C3">
        <w:t xml:space="preserve"> hindlimb clasp</w:t>
      </w:r>
      <w:r w:rsidR="00B507C3" w:rsidRPr="00B507C3">
        <w:t>,</w:t>
      </w:r>
      <w:r w:rsidR="00544ABE" w:rsidRPr="00B507C3">
        <w:t xml:space="preserve"> </w:t>
      </w:r>
      <w:r w:rsidR="00151A28" w:rsidRPr="00B507C3">
        <w:t xml:space="preserve">and </w:t>
      </w:r>
      <w:r w:rsidR="00544ABE" w:rsidRPr="00B507C3">
        <w:t>recognition memory tests (novel object and spatial object recognition).</w:t>
      </w:r>
      <w:r w:rsidR="00151A28" w:rsidRPr="00B507C3">
        <w:t xml:space="preserve"> PAMP</w:t>
      </w:r>
      <w:r w:rsidR="00F3627E" w:rsidRPr="00B507C3">
        <w:t xml:space="preserve"> </w:t>
      </w:r>
      <w:r w:rsidR="00151A28" w:rsidRPr="00B507C3">
        <w:t>treatment</w:t>
      </w:r>
      <w:r w:rsidR="00544ABE" w:rsidRPr="00B507C3">
        <w:t xml:space="preserve"> </w:t>
      </w:r>
      <w:r w:rsidR="00151A28" w:rsidRPr="00B507C3">
        <w:t>reduced motor activity</w:t>
      </w:r>
      <w:r w:rsidR="00F0330E" w:rsidRPr="00B507C3">
        <w:t xml:space="preserve"> in</w:t>
      </w:r>
      <w:r w:rsidR="00151A28" w:rsidRPr="00B507C3">
        <w:t xml:space="preserve"> the open field</w:t>
      </w:r>
      <w:r w:rsidR="00544ABE" w:rsidRPr="00B507C3">
        <w:t>,</w:t>
      </w:r>
      <w:r w:rsidR="00151A28" w:rsidRPr="00B507C3">
        <w:t xml:space="preserve"> as measured by </w:t>
      </w:r>
      <w:r w:rsidR="00544ABE" w:rsidRPr="00B507C3">
        <w:t xml:space="preserve">decreased </w:t>
      </w:r>
      <w:r w:rsidR="00151A28" w:rsidRPr="00B507C3">
        <w:t xml:space="preserve">total distance traveled (F(1, 62) = 10.673, p = 0.002, </w:t>
      </w:r>
      <w:r w:rsidR="00E42DE4" w:rsidRPr="00B507C3">
        <w:t>η</w:t>
      </w:r>
      <w:r w:rsidR="00E42DE4" w:rsidRPr="00B507C3">
        <w:rPr>
          <w:vertAlign w:val="subscript"/>
        </w:rPr>
        <w:t>p</w:t>
      </w:r>
      <w:r w:rsidR="00E42DE4" w:rsidRPr="00B507C3">
        <w:rPr>
          <w:vertAlign w:val="superscript"/>
        </w:rPr>
        <w:t xml:space="preserve">2 </w:t>
      </w:r>
      <w:r w:rsidR="00151A28" w:rsidRPr="00B507C3">
        <w:t>= 0.147, 95% CI [0.014, 0.379]</w:t>
      </w:r>
      <w:r w:rsidR="00924B68" w:rsidRPr="00B507C3">
        <w:t>)</w:t>
      </w:r>
      <w:r w:rsidR="00F0330E" w:rsidRPr="00B507C3">
        <w:t xml:space="preserve"> and</w:t>
      </w:r>
      <w:r w:rsidR="00544ABE" w:rsidRPr="00B507C3">
        <w:t xml:space="preserve"> reduced</w:t>
      </w:r>
      <w:r w:rsidR="00F0330E" w:rsidRPr="00B507C3">
        <w:t xml:space="preserve"> basic movement activity (F(1,</w:t>
      </w:r>
      <w:r w:rsidR="00ED6DDE" w:rsidRPr="00B507C3">
        <w:t xml:space="preserve"> </w:t>
      </w:r>
      <w:r w:rsidR="00F0330E" w:rsidRPr="00B507C3">
        <w:t xml:space="preserve">62) = 9.936, p = 0.002, </w:t>
      </w:r>
      <w:r w:rsidR="000A2DE3" w:rsidRPr="00B507C3">
        <w:t>η</w:t>
      </w:r>
      <w:r w:rsidR="000A2DE3" w:rsidRPr="00B507C3">
        <w:rPr>
          <w:vertAlign w:val="subscript"/>
        </w:rPr>
        <w:t>p</w:t>
      </w:r>
      <w:r w:rsidR="000A2DE3" w:rsidRPr="00B507C3">
        <w:rPr>
          <w:vertAlign w:val="superscript"/>
        </w:rPr>
        <w:t xml:space="preserve">2 </w:t>
      </w:r>
      <w:r w:rsidR="00F0330E" w:rsidRPr="00B507C3">
        <w:t>= 0.138, 95% CI [0.013, 0.348]</w:t>
      </w:r>
      <w:r w:rsidR="007A2BAE" w:rsidRPr="00B507C3">
        <w:t>; Table 1</w:t>
      </w:r>
      <w:r w:rsidR="00F0330E" w:rsidRPr="00B507C3">
        <w:t>)</w:t>
      </w:r>
      <w:r w:rsidR="00544ABE" w:rsidRPr="00B507C3">
        <w:t xml:space="preserve">. This hypoactivity occurred in both PS19 and </w:t>
      </w:r>
      <w:proofErr w:type="gramStart"/>
      <w:r w:rsidR="00BA1083" w:rsidRPr="00B507C3">
        <w:t>N</w:t>
      </w:r>
      <w:r w:rsidR="00544ABE" w:rsidRPr="00B507C3">
        <w:t>on-</w:t>
      </w:r>
      <w:proofErr w:type="spellStart"/>
      <w:r w:rsidR="00544ABE" w:rsidRPr="00B507C3">
        <w:t>Tg</w:t>
      </w:r>
      <w:proofErr w:type="spellEnd"/>
      <w:proofErr w:type="gramEnd"/>
      <w:r w:rsidR="00544ABE" w:rsidRPr="00B507C3">
        <w:t xml:space="preserve"> mice (</w:t>
      </w:r>
      <w:r w:rsidR="00F0330E" w:rsidRPr="00B507C3">
        <w:t>Fig 3</w:t>
      </w:r>
      <w:r w:rsidR="008E41AC" w:rsidRPr="00B507C3">
        <w:t>A</w:t>
      </w:r>
      <w:r w:rsidR="00FF3061">
        <w:t>, B</w:t>
      </w:r>
      <w:r w:rsidR="00F0330E" w:rsidRPr="00B507C3">
        <w:t>)</w:t>
      </w:r>
      <w:r w:rsidR="00E4504B" w:rsidRPr="00B507C3">
        <w:t>,</w:t>
      </w:r>
      <w:r w:rsidR="00544ABE" w:rsidRPr="00B507C3">
        <w:t xml:space="preserve"> indicating a treatment effect independent of genotype. PS19 mice showed elevated distance traveled compared to </w:t>
      </w:r>
      <w:r w:rsidR="00BA1083" w:rsidRPr="00B507C3">
        <w:t>N</w:t>
      </w:r>
      <w:r w:rsidR="00E4504B" w:rsidRPr="00B507C3">
        <w:t>on-</w:t>
      </w:r>
      <w:proofErr w:type="spellStart"/>
      <w:r w:rsidR="00E4504B" w:rsidRPr="00B507C3">
        <w:t>Tg</w:t>
      </w:r>
      <w:proofErr w:type="spellEnd"/>
      <w:r w:rsidR="00E4504B" w:rsidRPr="00B507C3">
        <w:t xml:space="preserve"> mice</w:t>
      </w:r>
      <w:r w:rsidR="00544ABE" w:rsidRPr="00B507C3">
        <w:t xml:space="preserve"> (F(1, 62) = 4.135, p = 0.046, </w:t>
      </w:r>
      <w:r w:rsidR="000A2DE3" w:rsidRPr="00B507C3">
        <w:t>η</w:t>
      </w:r>
      <w:r w:rsidR="000A2DE3" w:rsidRPr="00B507C3">
        <w:rPr>
          <w:vertAlign w:val="subscript"/>
        </w:rPr>
        <w:t>p</w:t>
      </w:r>
      <w:r w:rsidR="000A2DE3" w:rsidRPr="00B507C3">
        <w:rPr>
          <w:vertAlign w:val="superscript"/>
        </w:rPr>
        <w:t xml:space="preserve">2 </w:t>
      </w:r>
      <w:r w:rsidR="00544ABE" w:rsidRPr="00B507C3">
        <w:t>= 0.063, 95% CI [0.001, 0.248]), regardless of treatment (Fig</w:t>
      </w:r>
      <w:r w:rsidR="002B35CD" w:rsidRPr="00B507C3">
        <w:t xml:space="preserve"> 3</w:t>
      </w:r>
      <w:r w:rsidR="008E41AC" w:rsidRPr="00B507C3">
        <w:t>A</w:t>
      </w:r>
      <w:r w:rsidR="002B35CD" w:rsidRPr="00B507C3">
        <w:t xml:space="preserve">). For the hindlimb </w:t>
      </w:r>
      <w:r w:rsidR="00E4504B" w:rsidRPr="00B507C3">
        <w:t>clasp</w:t>
      </w:r>
      <w:r w:rsidR="002B35CD" w:rsidRPr="00B507C3">
        <w:t xml:space="preserve"> measure of spinal degeneration, there was an expected effect of genotype (</w:t>
      </w:r>
      <w:proofErr w:type="gramStart"/>
      <w:r w:rsidR="002B35CD" w:rsidRPr="00B507C3">
        <w:t>F(</w:t>
      </w:r>
      <w:proofErr w:type="gramEnd"/>
      <w:r w:rsidR="002B35CD" w:rsidRPr="00B507C3">
        <w:t xml:space="preserve">1, 52) = 7.175, p = 0.010, </w:t>
      </w:r>
      <w:r w:rsidR="000A2DE3" w:rsidRPr="00B507C3">
        <w:t>η</w:t>
      </w:r>
      <w:r w:rsidR="000A2DE3" w:rsidRPr="00B507C3">
        <w:rPr>
          <w:vertAlign w:val="subscript"/>
        </w:rPr>
        <w:t>p</w:t>
      </w:r>
      <w:r w:rsidR="000A2DE3" w:rsidRPr="00B507C3">
        <w:rPr>
          <w:vertAlign w:val="superscript"/>
        </w:rPr>
        <w:t xml:space="preserve">2 </w:t>
      </w:r>
      <w:r w:rsidR="002B35CD" w:rsidRPr="00B507C3">
        <w:t>= 0.121, 95% CI [0.003, 0.366]</w:t>
      </w:r>
      <w:r w:rsidR="00924B68" w:rsidRPr="00B507C3">
        <w:t>)</w:t>
      </w:r>
      <w:r w:rsidR="002B35CD" w:rsidRPr="00B507C3">
        <w:t xml:space="preserve"> with greater </w:t>
      </w:r>
      <w:r w:rsidR="00D622A1">
        <w:t xml:space="preserve">abnormal </w:t>
      </w:r>
      <w:r w:rsidR="00E4504B" w:rsidRPr="00B507C3">
        <w:t>clasping</w:t>
      </w:r>
      <w:r w:rsidR="002B35CD" w:rsidRPr="00B507C3">
        <w:t xml:space="preserve"> behavior in the PS19 mice, but no effect of treatment or interaction (Fig 3</w:t>
      </w:r>
      <w:r w:rsidR="008E41AC" w:rsidRPr="00B507C3">
        <w:t>C</w:t>
      </w:r>
      <w:r w:rsidR="002B35CD" w:rsidRPr="00B507C3">
        <w:t xml:space="preserve">). </w:t>
      </w:r>
      <w:r w:rsidR="00E4504B" w:rsidRPr="00B507C3">
        <w:t>Notably</w:t>
      </w:r>
      <w:r w:rsidR="002B35CD" w:rsidRPr="00B507C3">
        <w:t>, none of the included mice</w:t>
      </w:r>
      <w:r w:rsidR="0026067D" w:rsidRPr="00B507C3">
        <w:t xml:space="preserve"> </w:t>
      </w:r>
      <w:r w:rsidR="002B35CD" w:rsidRPr="00B507C3">
        <w:t>exhibited a complete lack of hindlimb splaying behavior, which would be a pre</w:t>
      </w:r>
      <w:r w:rsidR="00E4504B" w:rsidRPr="00B507C3">
        <w:t>cursor to</w:t>
      </w:r>
      <w:r w:rsidR="002B35CD" w:rsidRPr="00B507C3">
        <w:t xml:space="preserve"> </w:t>
      </w:r>
      <w:r w:rsidR="002B35CD" w:rsidRPr="00925DC3">
        <w:t xml:space="preserve">hindlimb paralysis. Neither recognition task (NOR and SOR) </w:t>
      </w:r>
      <w:r w:rsidR="00925DC3" w:rsidRPr="00925DC3">
        <w:t>n</w:t>
      </w:r>
      <w:r w:rsidR="009E2BE1" w:rsidRPr="00925DC3">
        <w:t xml:space="preserve">or </w:t>
      </w:r>
      <w:r w:rsidR="00925DC3" w:rsidRPr="00925DC3">
        <w:t xml:space="preserve">the </w:t>
      </w:r>
      <w:r w:rsidR="009E2BE1" w:rsidRPr="00925DC3">
        <w:t xml:space="preserve">open field measures of fine movement and rearing </w:t>
      </w:r>
      <w:r w:rsidR="00925DC3" w:rsidRPr="00925DC3">
        <w:t>showed</w:t>
      </w:r>
      <w:r w:rsidR="002B35CD" w:rsidRPr="00925DC3">
        <w:t xml:space="preserve"> significant </w:t>
      </w:r>
      <w:r w:rsidR="0088101D" w:rsidRPr="00925DC3">
        <w:t>genotype or treatment effects</w:t>
      </w:r>
      <w:r w:rsidR="002B35CD" w:rsidRPr="00925DC3">
        <w:t xml:space="preserve"> (all p &gt; 0.05</w:t>
      </w:r>
      <w:r w:rsidR="00EA2DEF" w:rsidRPr="00925DC3">
        <w:t>; Table S1</w:t>
      </w:r>
      <w:r w:rsidR="002B35CD" w:rsidRPr="00925DC3">
        <w:t>).</w:t>
      </w:r>
    </w:p>
    <w:p w14:paraId="530CE9B2" w14:textId="77777777" w:rsidR="0003368D" w:rsidRDefault="0003368D" w:rsidP="0003368D">
      <w:pPr>
        <w:spacing w:after="0" w:line="240" w:lineRule="auto"/>
        <w:ind w:firstLine="720"/>
        <w:rPr>
          <w:noProof/>
        </w:rPr>
      </w:pPr>
    </w:p>
    <w:p w14:paraId="5B250E98" w14:textId="77777777" w:rsidR="0049231E" w:rsidRPr="00D957F3" w:rsidRDefault="0049231E" w:rsidP="0003368D">
      <w:pPr>
        <w:spacing w:after="0" w:line="240" w:lineRule="auto"/>
        <w:ind w:firstLine="720"/>
        <w:rPr>
          <w:noProof/>
        </w:rPr>
      </w:pPr>
    </w:p>
    <w:p w14:paraId="4026F808" w14:textId="77777777" w:rsidR="002C5808" w:rsidRPr="000554D4" w:rsidRDefault="002C5808" w:rsidP="002C5808">
      <w:r w:rsidRPr="000554D4">
        <w:rPr>
          <w:b/>
          <w:bCs/>
        </w:rPr>
        <w:lastRenderedPageBreak/>
        <w:t>Table 1</w:t>
      </w:r>
      <w:r w:rsidRPr="000554D4">
        <w:t>. ART-ANOVA main effects and interaction results for open field measures (total distance and basic movement) and hindlimb clasp.</w:t>
      </w:r>
    </w:p>
    <w:tbl>
      <w:tblPr>
        <w:tblStyle w:val="TableGrid1"/>
        <w:tblW w:w="0" w:type="auto"/>
        <w:tblLayout w:type="fixed"/>
        <w:tblLook w:val="04A0" w:firstRow="1" w:lastRow="0" w:firstColumn="1" w:lastColumn="0" w:noHBand="0" w:noVBand="1"/>
      </w:tblPr>
      <w:tblGrid>
        <w:gridCol w:w="1980"/>
        <w:gridCol w:w="1440"/>
        <w:gridCol w:w="1620"/>
        <w:gridCol w:w="1170"/>
        <w:gridCol w:w="900"/>
        <w:gridCol w:w="1530"/>
      </w:tblGrid>
      <w:tr w:rsidR="002C5808" w:rsidRPr="00725800" w14:paraId="2BC7245E" w14:textId="77777777" w:rsidTr="009B4C1E">
        <w:trPr>
          <w:trHeight w:val="379"/>
        </w:trPr>
        <w:tc>
          <w:tcPr>
            <w:tcW w:w="1980" w:type="dxa"/>
            <w:tcBorders>
              <w:top w:val="single" w:sz="4" w:space="0" w:color="auto"/>
              <w:left w:val="nil"/>
              <w:bottom w:val="single" w:sz="4" w:space="0" w:color="auto"/>
              <w:right w:val="nil"/>
            </w:tcBorders>
          </w:tcPr>
          <w:p w14:paraId="32062F29" w14:textId="77777777" w:rsidR="002C5808" w:rsidRPr="00725800" w:rsidRDefault="002C5808" w:rsidP="009B4C1E">
            <w:pPr>
              <w:jc w:val="center"/>
              <w:rPr>
                <w:rFonts w:eastAsia="Aptos"/>
                <w:b/>
                <w:bCs/>
                <w:sz w:val="22"/>
                <w:szCs w:val="22"/>
              </w:rPr>
            </w:pPr>
            <w:r w:rsidRPr="00725800">
              <w:rPr>
                <w:rFonts w:eastAsia="Aptos"/>
                <w:b/>
                <w:bCs/>
                <w:sz w:val="22"/>
                <w:szCs w:val="22"/>
              </w:rPr>
              <w:t>Measure</w:t>
            </w:r>
          </w:p>
        </w:tc>
        <w:tc>
          <w:tcPr>
            <w:tcW w:w="1440" w:type="dxa"/>
            <w:tcBorders>
              <w:top w:val="single" w:sz="4" w:space="0" w:color="auto"/>
              <w:left w:val="nil"/>
              <w:bottom w:val="single" w:sz="4" w:space="0" w:color="auto"/>
              <w:right w:val="nil"/>
            </w:tcBorders>
          </w:tcPr>
          <w:p w14:paraId="324C1315" w14:textId="77777777" w:rsidR="002C5808" w:rsidRPr="00725800" w:rsidRDefault="002C5808" w:rsidP="009B4C1E">
            <w:pPr>
              <w:jc w:val="center"/>
              <w:rPr>
                <w:rFonts w:eastAsia="Aptos"/>
                <w:b/>
                <w:bCs/>
                <w:sz w:val="22"/>
                <w:szCs w:val="22"/>
              </w:rPr>
            </w:pPr>
            <w:r w:rsidRPr="00725800">
              <w:rPr>
                <w:rFonts w:eastAsia="Aptos"/>
                <w:b/>
                <w:bCs/>
                <w:sz w:val="22"/>
                <w:szCs w:val="22"/>
              </w:rPr>
              <w:t>Comparison</w:t>
            </w:r>
          </w:p>
        </w:tc>
        <w:tc>
          <w:tcPr>
            <w:tcW w:w="1620" w:type="dxa"/>
            <w:tcBorders>
              <w:top w:val="single" w:sz="4" w:space="0" w:color="auto"/>
              <w:left w:val="nil"/>
              <w:bottom w:val="single" w:sz="4" w:space="0" w:color="auto"/>
              <w:right w:val="nil"/>
            </w:tcBorders>
          </w:tcPr>
          <w:p w14:paraId="2B84E8A4" w14:textId="77777777" w:rsidR="002C5808" w:rsidRPr="00725800" w:rsidRDefault="002C5808" w:rsidP="009B4C1E">
            <w:pPr>
              <w:jc w:val="center"/>
              <w:rPr>
                <w:rFonts w:eastAsia="Aptos"/>
                <w:b/>
                <w:bCs/>
                <w:sz w:val="22"/>
                <w:szCs w:val="22"/>
              </w:rPr>
            </w:pPr>
            <w:r w:rsidRPr="00725800">
              <w:rPr>
                <w:rFonts w:eastAsia="Aptos"/>
                <w:b/>
                <w:bCs/>
                <w:sz w:val="22"/>
                <w:szCs w:val="22"/>
              </w:rPr>
              <w:t>F-value (</w:t>
            </w:r>
            <w:proofErr w:type="spellStart"/>
            <w:r w:rsidRPr="00725800">
              <w:rPr>
                <w:rFonts w:eastAsia="Aptos"/>
                <w:b/>
                <w:bCs/>
                <w:sz w:val="22"/>
                <w:szCs w:val="22"/>
              </w:rPr>
              <w:t>df</w:t>
            </w:r>
            <w:proofErr w:type="spellEnd"/>
            <w:r w:rsidRPr="00725800">
              <w:rPr>
                <w:rFonts w:eastAsia="Aptos"/>
                <w:b/>
                <w:bCs/>
                <w:sz w:val="22"/>
                <w:szCs w:val="22"/>
              </w:rPr>
              <w:t>)</w:t>
            </w:r>
          </w:p>
        </w:tc>
        <w:tc>
          <w:tcPr>
            <w:tcW w:w="1170" w:type="dxa"/>
            <w:tcBorders>
              <w:top w:val="single" w:sz="4" w:space="0" w:color="auto"/>
              <w:left w:val="nil"/>
              <w:bottom w:val="single" w:sz="4" w:space="0" w:color="auto"/>
              <w:right w:val="nil"/>
            </w:tcBorders>
          </w:tcPr>
          <w:p w14:paraId="24DDB784" w14:textId="77777777" w:rsidR="002C5808" w:rsidRPr="00725800" w:rsidRDefault="002C5808" w:rsidP="009B4C1E">
            <w:pPr>
              <w:jc w:val="center"/>
              <w:rPr>
                <w:rFonts w:eastAsia="Aptos"/>
                <w:b/>
                <w:bCs/>
                <w:sz w:val="22"/>
                <w:szCs w:val="22"/>
              </w:rPr>
            </w:pPr>
            <w:r w:rsidRPr="00725800">
              <w:rPr>
                <w:rFonts w:eastAsia="Aptos"/>
                <w:b/>
                <w:bCs/>
                <w:sz w:val="22"/>
                <w:szCs w:val="22"/>
              </w:rPr>
              <w:t>p-value</w:t>
            </w:r>
          </w:p>
        </w:tc>
        <w:tc>
          <w:tcPr>
            <w:tcW w:w="900" w:type="dxa"/>
            <w:tcBorders>
              <w:top w:val="single" w:sz="4" w:space="0" w:color="auto"/>
              <w:left w:val="nil"/>
              <w:bottom w:val="single" w:sz="4" w:space="0" w:color="auto"/>
              <w:right w:val="nil"/>
            </w:tcBorders>
          </w:tcPr>
          <w:p w14:paraId="68D617EB" w14:textId="77777777" w:rsidR="002C5808" w:rsidRPr="000A2DE3" w:rsidRDefault="002C5808" w:rsidP="009B4C1E">
            <w:pPr>
              <w:jc w:val="center"/>
              <w:rPr>
                <w:rFonts w:eastAsia="Aptos"/>
                <w:b/>
                <w:bCs/>
                <w:sz w:val="22"/>
                <w:szCs w:val="22"/>
              </w:rPr>
            </w:pPr>
            <w:r w:rsidRPr="000A2DE3">
              <w:rPr>
                <w:b/>
                <w:bCs/>
              </w:rPr>
              <w:t>η</w:t>
            </w:r>
            <w:r w:rsidRPr="000A2DE3">
              <w:rPr>
                <w:b/>
                <w:bCs/>
                <w:vertAlign w:val="subscript"/>
              </w:rPr>
              <w:t>p</w:t>
            </w:r>
            <w:r w:rsidRPr="000A2DE3">
              <w:rPr>
                <w:b/>
                <w:bCs/>
                <w:vertAlign w:val="superscript"/>
              </w:rPr>
              <w:t>2</w:t>
            </w:r>
          </w:p>
        </w:tc>
        <w:tc>
          <w:tcPr>
            <w:tcW w:w="1530" w:type="dxa"/>
            <w:tcBorders>
              <w:top w:val="single" w:sz="4" w:space="0" w:color="auto"/>
              <w:left w:val="nil"/>
              <w:bottom w:val="nil"/>
              <w:right w:val="nil"/>
            </w:tcBorders>
          </w:tcPr>
          <w:p w14:paraId="786091D2" w14:textId="77777777" w:rsidR="002C5808" w:rsidRPr="00725800" w:rsidRDefault="002C5808" w:rsidP="009B4C1E">
            <w:pPr>
              <w:jc w:val="center"/>
              <w:rPr>
                <w:b/>
                <w:bCs/>
                <w:sz w:val="22"/>
                <w:szCs w:val="22"/>
              </w:rPr>
            </w:pPr>
            <w:r w:rsidRPr="00725800">
              <w:rPr>
                <w:b/>
                <w:bCs/>
                <w:sz w:val="22"/>
                <w:szCs w:val="22"/>
              </w:rPr>
              <w:t>95% CI</w:t>
            </w:r>
          </w:p>
        </w:tc>
      </w:tr>
      <w:tr w:rsidR="002C5808" w:rsidRPr="00725800" w14:paraId="6CED00E5" w14:textId="77777777" w:rsidTr="009B4C1E">
        <w:trPr>
          <w:trHeight w:val="379"/>
        </w:trPr>
        <w:tc>
          <w:tcPr>
            <w:tcW w:w="1980" w:type="dxa"/>
            <w:tcBorders>
              <w:top w:val="single" w:sz="4" w:space="0" w:color="auto"/>
              <w:left w:val="nil"/>
              <w:bottom w:val="nil"/>
              <w:right w:val="nil"/>
            </w:tcBorders>
          </w:tcPr>
          <w:p w14:paraId="11CB0663" w14:textId="77777777" w:rsidR="002C5808" w:rsidRPr="00725800" w:rsidRDefault="002C5808" w:rsidP="009B4C1E">
            <w:pPr>
              <w:rPr>
                <w:rFonts w:eastAsia="Aptos"/>
                <w:sz w:val="22"/>
                <w:szCs w:val="22"/>
              </w:rPr>
            </w:pPr>
            <w:r w:rsidRPr="00725800">
              <w:rPr>
                <w:rFonts w:eastAsia="Aptos"/>
                <w:sz w:val="22"/>
                <w:szCs w:val="22"/>
              </w:rPr>
              <w:t>Total Distance</w:t>
            </w:r>
          </w:p>
        </w:tc>
        <w:tc>
          <w:tcPr>
            <w:tcW w:w="1440" w:type="dxa"/>
            <w:tcBorders>
              <w:top w:val="single" w:sz="4" w:space="0" w:color="auto"/>
              <w:left w:val="nil"/>
              <w:bottom w:val="nil"/>
              <w:right w:val="nil"/>
            </w:tcBorders>
          </w:tcPr>
          <w:p w14:paraId="34C0CE72" w14:textId="77777777" w:rsidR="002C5808" w:rsidRPr="00725800" w:rsidRDefault="002C5808" w:rsidP="009B4C1E">
            <w:pPr>
              <w:rPr>
                <w:rFonts w:eastAsia="Aptos"/>
                <w:sz w:val="22"/>
                <w:szCs w:val="22"/>
              </w:rPr>
            </w:pPr>
            <w:r w:rsidRPr="00725800">
              <w:rPr>
                <w:rFonts w:eastAsia="Aptos"/>
                <w:sz w:val="22"/>
                <w:szCs w:val="22"/>
              </w:rPr>
              <w:t>Genotype</w:t>
            </w:r>
          </w:p>
        </w:tc>
        <w:tc>
          <w:tcPr>
            <w:tcW w:w="1620" w:type="dxa"/>
            <w:tcBorders>
              <w:top w:val="single" w:sz="4" w:space="0" w:color="auto"/>
              <w:left w:val="nil"/>
              <w:bottom w:val="nil"/>
              <w:right w:val="nil"/>
            </w:tcBorders>
          </w:tcPr>
          <w:p w14:paraId="63BCB405" w14:textId="77777777" w:rsidR="002C5808" w:rsidRPr="00725800" w:rsidRDefault="002C5808" w:rsidP="009B4C1E">
            <w:pPr>
              <w:jc w:val="right"/>
              <w:rPr>
                <w:rFonts w:eastAsia="Aptos"/>
                <w:sz w:val="22"/>
                <w:szCs w:val="22"/>
              </w:rPr>
            </w:pPr>
            <w:r w:rsidRPr="00725800">
              <w:rPr>
                <w:sz w:val="22"/>
                <w:szCs w:val="22"/>
              </w:rPr>
              <w:t>4.135 (1, 62)</w:t>
            </w:r>
          </w:p>
        </w:tc>
        <w:tc>
          <w:tcPr>
            <w:tcW w:w="1170" w:type="dxa"/>
            <w:tcBorders>
              <w:top w:val="single" w:sz="4" w:space="0" w:color="auto"/>
              <w:left w:val="nil"/>
              <w:bottom w:val="nil"/>
              <w:right w:val="nil"/>
            </w:tcBorders>
          </w:tcPr>
          <w:p w14:paraId="5952FE07" w14:textId="77777777" w:rsidR="002C5808" w:rsidRPr="00725800" w:rsidRDefault="002C5808" w:rsidP="009B4C1E">
            <w:pPr>
              <w:jc w:val="right"/>
              <w:rPr>
                <w:rFonts w:eastAsia="Aptos"/>
                <w:b/>
                <w:bCs/>
                <w:sz w:val="22"/>
                <w:szCs w:val="22"/>
              </w:rPr>
            </w:pPr>
            <w:r w:rsidRPr="00725800">
              <w:rPr>
                <w:b/>
                <w:bCs/>
                <w:sz w:val="22"/>
                <w:szCs w:val="22"/>
              </w:rPr>
              <w:t>0.046</w:t>
            </w:r>
          </w:p>
        </w:tc>
        <w:tc>
          <w:tcPr>
            <w:tcW w:w="900" w:type="dxa"/>
            <w:tcBorders>
              <w:top w:val="single" w:sz="4" w:space="0" w:color="auto"/>
              <w:left w:val="nil"/>
              <w:bottom w:val="nil"/>
              <w:right w:val="nil"/>
            </w:tcBorders>
          </w:tcPr>
          <w:p w14:paraId="5FE8470E" w14:textId="77777777" w:rsidR="002C5808" w:rsidRPr="00725800" w:rsidRDefault="002C5808" w:rsidP="009B4C1E">
            <w:pPr>
              <w:jc w:val="right"/>
              <w:rPr>
                <w:sz w:val="22"/>
                <w:szCs w:val="22"/>
              </w:rPr>
            </w:pPr>
            <w:r w:rsidRPr="00725800">
              <w:rPr>
                <w:sz w:val="22"/>
                <w:szCs w:val="22"/>
              </w:rPr>
              <w:t>0.063</w:t>
            </w:r>
          </w:p>
        </w:tc>
        <w:tc>
          <w:tcPr>
            <w:tcW w:w="1530" w:type="dxa"/>
            <w:tcBorders>
              <w:top w:val="single" w:sz="4" w:space="0" w:color="auto"/>
              <w:left w:val="nil"/>
              <w:bottom w:val="nil"/>
              <w:right w:val="nil"/>
            </w:tcBorders>
          </w:tcPr>
          <w:p w14:paraId="6CFACF3B" w14:textId="77777777" w:rsidR="002C5808" w:rsidRPr="00725800" w:rsidRDefault="002C5808" w:rsidP="009B4C1E">
            <w:pPr>
              <w:jc w:val="right"/>
              <w:rPr>
                <w:sz w:val="22"/>
                <w:szCs w:val="22"/>
              </w:rPr>
            </w:pPr>
            <w:r w:rsidRPr="00725800">
              <w:rPr>
                <w:sz w:val="22"/>
                <w:szCs w:val="22"/>
              </w:rPr>
              <w:t>[0.001, 0.248]</w:t>
            </w:r>
          </w:p>
        </w:tc>
      </w:tr>
      <w:tr w:rsidR="002C5808" w:rsidRPr="00725800" w14:paraId="01B54C94" w14:textId="77777777" w:rsidTr="009B4C1E">
        <w:trPr>
          <w:trHeight w:val="379"/>
        </w:trPr>
        <w:tc>
          <w:tcPr>
            <w:tcW w:w="1980" w:type="dxa"/>
            <w:tcBorders>
              <w:top w:val="nil"/>
              <w:left w:val="nil"/>
              <w:bottom w:val="nil"/>
              <w:right w:val="nil"/>
            </w:tcBorders>
          </w:tcPr>
          <w:p w14:paraId="5B4831C6" w14:textId="77777777" w:rsidR="002C5808" w:rsidRPr="00725800" w:rsidRDefault="002C5808" w:rsidP="009B4C1E">
            <w:pPr>
              <w:rPr>
                <w:rFonts w:eastAsia="Aptos"/>
                <w:sz w:val="22"/>
                <w:szCs w:val="22"/>
              </w:rPr>
            </w:pPr>
          </w:p>
        </w:tc>
        <w:tc>
          <w:tcPr>
            <w:tcW w:w="1440" w:type="dxa"/>
            <w:tcBorders>
              <w:top w:val="nil"/>
              <w:left w:val="nil"/>
              <w:bottom w:val="nil"/>
              <w:right w:val="nil"/>
            </w:tcBorders>
          </w:tcPr>
          <w:p w14:paraId="7BAA5803" w14:textId="77777777" w:rsidR="002C5808" w:rsidRPr="00725800" w:rsidRDefault="002C5808" w:rsidP="009B4C1E">
            <w:pPr>
              <w:rPr>
                <w:rFonts w:eastAsia="Aptos"/>
                <w:sz w:val="22"/>
                <w:szCs w:val="22"/>
              </w:rPr>
            </w:pPr>
            <w:r w:rsidRPr="00725800">
              <w:rPr>
                <w:rFonts w:eastAsia="Aptos"/>
                <w:sz w:val="22"/>
                <w:szCs w:val="22"/>
              </w:rPr>
              <w:t>Treatment</w:t>
            </w:r>
          </w:p>
        </w:tc>
        <w:tc>
          <w:tcPr>
            <w:tcW w:w="1620" w:type="dxa"/>
            <w:tcBorders>
              <w:top w:val="nil"/>
              <w:left w:val="nil"/>
              <w:bottom w:val="nil"/>
              <w:right w:val="nil"/>
            </w:tcBorders>
          </w:tcPr>
          <w:p w14:paraId="50FF582F" w14:textId="77777777" w:rsidR="002C5808" w:rsidRPr="00725800" w:rsidRDefault="002C5808" w:rsidP="009B4C1E">
            <w:pPr>
              <w:jc w:val="right"/>
              <w:rPr>
                <w:rFonts w:eastAsia="Aptos"/>
                <w:sz w:val="22"/>
                <w:szCs w:val="22"/>
              </w:rPr>
            </w:pPr>
            <w:r w:rsidRPr="00725800">
              <w:rPr>
                <w:sz w:val="22"/>
                <w:szCs w:val="22"/>
              </w:rPr>
              <w:t>10.673 (1, 62)</w:t>
            </w:r>
          </w:p>
        </w:tc>
        <w:tc>
          <w:tcPr>
            <w:tcW w:w="1170" w:type="dxa"/>
            <w:tcBorders>
              <w:top w:val="nil"/>
              <w:left w:val="nil"/>
              <w:bottom w:val="nil"/>
              <w:right w:val="nil"/>
            </w:tcBorders>
          </w:tcPr>
          <w:p w14:paraId="6EE6EEE5" w14:textId="77777777" w:rsidR="002C5808" w:rsidRPr="00725800" w:rsidRDefault="002C5808" w:rsidP="009B4C1E">
            <w:pPr>
              <w:jc w:val="right"/>
              <w:rPr>
                <w:rFonts w:eastAsia="Aptos"/>
                <w:b/>
                <w:bCs/>
                <w:sz w:val="22"/>
                <w:szCs w:val="22"/>
              </w:rPr>
            </w:pPr>
            <w:r w:rsidRPr="00725800">
              <w:rPr>
                <w:b/>
                <w:bCs/>
                <w:sz w:val="22"/>
                <w:szCs w:val="22"/>
              </w:rPr>
              <w:t>0.002</w:t>
            </w:r>
          </w:p>
        </w:tc>
        <w:tc>
          <w:tcPr>
            <w:tcW w:w="900" w:type="dxa"/>
            <w:tcBorders>
              <w:top w:val="nil"/>
              <w:left w:val="nil"/>
              <w:bottom w:val="nil"/>
              <w:right w:val="nil"/>
            </w:tcBorders>
          </w:tcPr>
          <w:p w14:paraId="2C67AFA5" w14:textId="77777777" w:rsidR="002C5808" w:rsidRPr="00725800" w:rsidRDefault="002C5808" w:rsidP="009B4C1E">
            <w:pPr>
              <w:jc w:val="right"/>
              <w:rPr>
                <w:sz w:val="22"/>
                <w:szCs w:val="22"/>
              </w:rPr>
            </w:pPr>
            <w:r w:rsidRPr="00725800">
              <w:rPr>
                <w:sz w:val="22"/>
                <w:szCs w:val="22"/>
              </w:rPr>
              <w:t>0.147</w:t>
            </w:r>
          </w:p>
        </w:tc>
        <w:tc>
          <w:tcPr>
            <w:tcW w:w="1530" w:type="dxa"/>
            <w:tcBorders>
              <w:top w:val="nil"/>
              <w:left w:val="nil"/>
              <w:bottom w:val="nil"/>
              <w:right w:val="nil"/>
            </w:tcBorders>
          </w:tcPr>
          <w:p w14:paraId="20CA0883" w14:textId="77777777" w:rsidR="002C5808" w:rsidRPr="00725800" w:rsidRDefault="002C5808" w:rsidP="009B4C1E">
            <w:pPr>
              <w:jc w:val="right"/>
              <w:rPr>
                <w:sz w:val="22"/>
                <w:szCs w:val="22"/>
              </w:rPr>
            </w:pPr>
            <w:r w:rsidRPr="00725800">
              <w:rPr>
                <w:sz w:val="22"/>
                <w:szCs w:val="22"/>
              </w:rPr>
              <w:t>[0.014, 0.379]</w:t>
            </w:r>
          </w:p>
        </w:tc>
      </w:tr>
      <w:tr w:rsidR="002C5808" w:rsidRPr="00725800" w14:paraId="51B5882A" w14:textId="77777777" w:rsidTr="009B4C1E">
        <w:trPr>
          <w:trHeight w:val="379"/>
        </w:trPr>
        <w:tc>
          <w:tcPr>
            <w:tcW w:w="1980" w:type="dxa"/>
            <w:tcBorders>
              <w:top w:val="nil"/>
              <w:left w:val="nil"/>
              <w:bottom w:val="single" w:sz="4" w:space="0" w:color="auto"/>
              <w:right w:val="nil"/>
            </w:tcBorders>
          </w:tcPr>
          <w:p w14:paraId="23478C14" w14:textId="77777777" w:rsidR="002C5808" w:rsidRPr="00725800" w:rsidRDefault="002C5808" w:rsidP="009B4C1E">
            <w:pPr>
              <w:rPr>
                <w:rFonts w:eastAsia="Aptos"/>
                <w:sz w:val="22"/>
                <w:szCs w:val="22"/>
              </w:rPr>
            </w:pPr>
          </w:p>
        </w:tc>
        <w:tc>
          <w:tcPr>
            <w:tcW w:w="1440" w:type="dxa"/>
            <w:tcBorders>
              <w:top w:val="nil"/>
              <w:left w:val="nil"/>
              <w:bottom w:val="single" w:sz="4" w:space="0" w:color="auto"/>
              <w:right w:val="nil"/>
            </w:tcBorders>
          </w:tcPr>
          <w:p w14:paraId="0AD5AB98" w14:textId="77777777" w:rsidR="002C5808" w:rsidRPr="00725800" w:rsidRDefault="002C5808" w:rsidP="009B4C1E">
            <w:pPr>
              <w:rPr>
                <w:rFonts w:eastAsia="Aptos"/>
                <w:sz w:val="22"/>
                <w:szCs w:val="22"/>
              </w:rPr>
            </w:pPr>
            <w:r w:rsidRPr="00725800">
              <w:rPr>
                <w:rFonts w:eastAsia="Aptos"/>
                <w:sz w:val="22"/>
                <w:szCs w:val="22"/>
              </w:rPr>
              <w:t>Interaction</w:t>
            </w:r>
          </w:p>
        </w:tc>
        <w:tc>
          <w:tcPr>
            <w:tcW w:w="1620" w:type="dxa"/>
            <w:tcBorders>
              <w:top w:val="nil"/>
              <w:left w:val="nil"/>
              <w:bottom w:val="single" w:sz="4" w:space="0" w:color="auto"/>
              <w:right w:val="nil"/>
            </w:tcBorders>
          </w:tcPr>
          <w:p w14:paraId="4224A5E8" w14:textId="77777777" w:rsidR="002C5808" w:rsidRPr="00725800" w:rsidRDefault="002C5808" w:rsidP="009B4C1E">
            <w:pPr>
              <w:jc w:val="right"/>
              <w:rPr>
                <w:rFonts w:eastAsia="Aptos"/>
                <w:sz w:val="22"/>
                <w:szCs w:val="22"/>
              </w:rPr>
            </w:pPr>
            <w:r w:rsidRPr="00725800">
              <w:rPr>
                <w:sz w:val="22"/>
                <w:szCs w:val="22"/>
              </w:rPr>
              <w:t>0.012 (1, 62)</w:t>
            </w:r>
          </w:p>
        </w:tc>
        <w:tc>
          <w:tcPr>
            <w:tcW w:w="1170" w:type="dxa"/>
            <w:tcBorders>
              <w:top w:val="nil"/>
              <w:left w:val="nil"/>
              <w:bottom w:val="single" w:sz="4" w:space="0" w:color="auto"/>
              <w:right w:val="nil"/>
            </w:tcBorders>
          </w:tcPr>
          <w:p w14:paraId="12FD9E42" w14:textId="77777777" w:rsidR="002C5808" w:rsidRPr="00725800" w:rsidRDefault="002C5808" w:rsidP="009B4C1E">
            <w:pPr>
              <w:jc w:val="right"/>
              <w:rPr>
                <w:rFonts w:eastAsia="Aptos"/>
                <w:sz w:val="22"/>
                <w:szCs w:val="22"/>
              </w:rPr>
            </w:pPr>
            <w:r w:rsidRPr="00725800">
              <w:rPr>
                <w:sz w:val="22"/>
                <w:szCs w:val="22"/>
              </w:rPr>
              <w:t>0.915</w:t>
            </w:r>
          </w:p>
        </w:tc>
        <w:tc>
          <w:tcPr>
            <w:tcW w:w="900" w:type="dxa"/>
            <w:tcBorders>
              <w:top w:val="nil"/>
              <w:left w:val="nil"/>
              <w:bottom w:val="single" w:sz="4" w:space="0" w:color="auto"/>
              <w:right w:val="nil"/>
            </w:tcBorders>
          </w:tcPr>
          <w:p w14:paraId="26AD0FD0" w14:textId="77777777" w:rsidR="002C5808" w:rsidRPr="00725800" w:rsidRDefault="002C5808" w:rsidP="009B4C1E">
            <w:pPr>
              <w:jc w:val="right"/>
              <w:rPr>
                <w:sz w:val="22"/>
                <w:szCs w:val="22"/>
              </w:rPr>
            </w:pPr>
            <w:r w:rsidRPr="00725800">
              <w:rPr>
                <w:sz w:val="22"/>
                <w:szCs w:val="22"/>
              </w:rPr>
              <w:t>&lt; 0.00</w:t>
            </w:r>
            <w:r>
              <w:rPr>
                <w:sz w:val="22"/>
                <w:szCs w:val="22"/>
              </w:rPr>
              <w:t>1</w:t>
            </w:r>
          </w:p>
        </w:tc>
        <w:tc>
          <w:tcPr>
            <w:tcW w:w="1530" w:type="dxa"/>
            <w:tcBorders>
              <w:top w:val="nil"/>
              <w:left w:val="nil"/>
              <w:bottom w:val="single" w:sz="4" w:space="0" w:color="auto"/>
              <w:right w:val="nil"/>
            </w:tcBorders>
          </w:tcPr>
          <w:p w14:paraId="58445D20" w14:textId="77777777" w:rsidR="002C5808" w:rsidRPr="00725800" w:rsidRDefault="002C5808" w:rsidP="009B4C1E">
            <w:pPr>
              <w:jc w:val="right"/>
              <w:rPr>
                <w:sz w:val="22"/>
                <w:szCs w:val="22"/>
              </w:rPr>
            </w:pPr>
            <w:r w:rsidRPr="00725800">
              <w:rPr>
                <w:sz w:val="22"/>
                <w:szCs w:val="22"/>
              </w:rPr>
              <w:t>[0.000, 0.097]</w:t>
            </w:r>
          </w:p>
        </w:tc>
      </w:tr>
      <w:tr w:rsidR="002C5808" w:rsidRPr="00725800" w14:paraId="6AB5F6FE" w14:textId="77777777" w:rsidTr="009B4C1E">
        <w:trPr>
          <w:trHeight w:val="379"/>
        </w:trPr>
        <w:tc>
          <w:tcPr>
            <w:tcW w:w="1980" w:type="dxa"/>
            <w:tcBorders>
              <w:top w:val="single" w:sz="4" w:space="0" w:color="auto"/>
              <w:left w:val="nil"/>
              <w:bottom w:val="nil"/>
              <w:right w:val="nil"/>
            </w:tcBorders>
          </w:tcPr>
          <w:p w14:paraId="3C35908B" w14:textId="77777777" w:rsidR="002C5808" w:rsidRPr="00725800" w:rsidRDefault="002C5808" w:rsidP="009B4C1E">
            <w:pPr>
              <w:rPr>
                <w:rFonts w:eastAsia="Aptos"/>
                <w:sz w:val="22"/>
                <w:szCs w:val="22"/>
              </w:rPr>
            </w:pPr>
            <w:r w:rsidRPr="00725800">
              <w:rPr>
                <w:rFonts w:eastAsia="Aptos"/>
                <w:sz w:val="22"/>
                <w:szCs w:val="22"/>
              </w:rPr>
              <w:t>Basic Movement</w:t>
            </w:r>
          </w:p>
        </w:tc>
        <w:tc>
          <w:tcPr>
            <w:tcW w:w="1440" w:type="dxa"/>
            <w:tcBorders>
              <w:top w:val="single" w:sz="4" w:space="0" w:color="auto"/>
              <w:left w:val="nil"/>
              <w:bottom w:val="nil"/>
              <w:right w:val="nil"/>
            </w:tcBorders>
          </w:tcPr>
          <w:p w14:paraId="6DF703CD" w14:textId="77777777" w:rsidR="002C5808" w:rsidRPr="00725800" w:rsidRDefault="002C5808" w:rsidP="009B4C1E">
            <w:pPr>
              <w:rPr>
                <w:rFonts w:eastAsia="Aptos"/>
                <w:sz w:val="22"/>
                <w:szCs w:val="22"/>
              </w:rPr>
            </w:pPr>
            <w:r w:rsidRPr="00725800">
              <w:rPr>
                <w:rFonts w:eastAsia="Aptos"/>
                <w:sz w:val="22"/>
                <w:szCs w:val="22"/>
              </w:rPr>
              <w:t>Genotype</w:t>
            </w:r>
          </w:p>
        </w:tc>
        <w:tc>
          <w:tcPr>
            <w:tcW w:w="1620" w:type="dxa"/>
            <w:tcBorders>
              <w:top w:val="single" w:sz="4" w:space="0" w:color="auto"/>
              <w:left w:val="nil"/>
              <w:bottom w:val="nil"/>
              <w:right w:val="nil"/>
            </w:tcBorders>
          </w:tcPr>
          <w:p w14:paraId="3859D179" w14:textId="77777777" w:rsidR="002C5808" w:rsidRPr="00725800" w:rsidRDefault="002C5808" w:rsidP="009B4C1E">
            <w:pPr>
              <w:jc w:val="right"/>
              <w:rPr>
                <w:rFonts w:eastAsia="Aptos"/>
                <w:sz w:val="22"/>
                <w:szCs w:val="22"/>
              </w:rPr>
            </w:pPr>
            <w:r w:rsidRPr="00725800">
              <w:rPr>
                <w:sz w:val="22"/>
                <w:szCs w:val="22"/>
              </w:rPr>
              <w:t>2.391 (1, 62)</w:t>
            </w:r>
          </w:p>
        </w:tc>
        <w:tc>
          <w:tcPr>
            <w:tcW w:w="1170" w:type="dxa"/>
            <w:tcBorders>
              <w:top w:val="single" w:sz="4" w:space="0" w:color="auto"/>
              <w:left w:val="nil"/>
              <w:bottom w:val="nil"/>
              <w:right w:val="nil"/>
            </w:tcBorders>
          </w:tcPr>
          <w:p w14:paraId="68C5EE7D" w14:textId="77777777" w:rsidR="002C5808" w:rsidRPr="00725800" w:rsidRDefault="002C5808" w:rsidP="009B4C1E">
            <w:pPr>
              <w:jc w:val="right"/>
              <w:rPr>
                <w:rFonts w:eastAsia="Aptos"/>
                <w:sz w:val="22"/>
                <w:szCs w:val="22"/>
              </w:rPr>
            </w:pPr>
            <w:r w:rsidRPr="00725800">
              <w:rPr>
                <w:sz w:val="22"/>
                <w:szCs w:val="22"/>
              </w:rPr>
              <w:t>0.127</w:t>
            </w:r>
          </w:p>
        </w:tc>
        <w:tc>
          <w:tcPr>
            <w:tcW w:w="900" w:type="dxa"/>
            <w:tcBorders>
              <w:top w:val="single" w:sz="4" w:space="0" w:color="auto"/>
              <w:left w:val="nil"/>
              <w:bottom w:val="nil"/>
              <w:right w:val="nil"/>
            </w:tcBorders>
          </w:tcPr>
          <w:p w14:paraId="0C5B21F5" w14:textId="77777777" w:rsidR="002C5808" w:rsidRPr="00725800" w:rsidRDefault="002C5808" w:rsidP="009B4C1E">
            <w:pPr>
              <w:jc w:val="right"/>
              <w:rPr>
                <w:sz w:val="22"/>
                <w:szCs w:val="22"/>
              </w:rPr>
            </w:pPr>
            <w:r w:rsidRPr="00725800">
              <w:rPr>
                <w:sz w:val="22"/>
                <w:szCs w:val="22"/>
              </w:rPr>
              <w:t>0.037</w:t>
            </w:r>
          </w:p>
        </w:tc>
        <w:tc>
          <w:tcPr>
            <w:tcW w:w="1530" w:type="dxa"/>
            <w:tcBorders>
              <w:top w:val="single" w:sz="4" w:space="0" w:color="auto"/>
              <w:left w:val="nil"/>
              <w:bottom w:val="nil"/>
              <w:right w:val="nil"/>
            </w:tcBorders>
          </w:tcPr>
          <w:p w14:paraId="1F3260BD" w14:textId="77777777" w:rsidR="002C5808" w:rsidRPr="00725800" w:rsidRDefault="002C5808" w:rsidP="009B4C1E">
            <w:pPr>
              <w:jc w:val="right"/>
              <w:rPr>
                <w:sz w:val="22"/>
                <w:szCs w:val="22"/>
              </w:rPr>
            </w:pPr>
            <w:r w:rsidRPr="00725800">
              <w:rPr>
                <w:sz w:val="22"/>
                <w:szCs w:val="22"/>
              </w:rPr>
              <w:t>[0.000, 0.195]</w:t>
            </w:r>
          </w:p>
        </w:tc>
      </w:tr>
      <w:tr w:rsidR="002C5808" w:rsidRPr="00725800" w14:paraId="6227D6F9" w14:textId="77777777" w:rsidTr="009B4C1E">
        <w:trPr>
          <w:trHeight w:val="379"/>
        </w:trPr>
        <w:tc>
          <w:tcPr>
            <w:tcW w:w="1980" w:type="dxa"/>
            <w:tcBorders>
              <w:top w:val="nil"/>
              <w:left w:val="nil"/>
              <w:bottom w:val="nil"/>
              <w:right w:val="nil"/>
            </w:tcBorders>
          </w:tcPr>
          <w:p w14:paraId="61D16149" w14:textId="77777777" w:rsidR="002C5808" w:rsidRPr="00725800" w:rsidRDefault="002C5808" w:rsidP="009B4C1E">
            <w:pPr>
              <w:rPr>
                <w:rFonts w:eastAsia="Aptos"/>
                <w:sz w:val="22"/>
                <w:szCs w:val="22"/>
              </w:rPr>
            </w:pPr>
          </w:p>
        </w:tc>
        <w:tc>
          <w:tcPr>
            <w:tcW w:w="1440" w:type="dxa"/>
            <w:tcBorders>
              <w:top w:val="nil"/>
              <w:left w:val="nil"/>
              <w:bottom w:val="nil"/>
              <w:right w:val="nil"/>
            </w:tcBorders>
          </w:tcPr>
          <w:p w14:paraId="388E26C1" w14:textId="77777777" w:rsidR="002C5808" w:rsidRPr="00725800" w:rsidRDefault="002C5808" w:rsidP="009B4C1E">
            <w:pPr>
              <w:rPr>
                <w:rFonts w:eastAsia="Aptos"/>
                <w:sz w:val="22"/>
                <w:szCs w:val="22"/>
              </w:rPr>
            </w:pPr>
            <w:r w:rsidRPr="00725800">
              <w:rPr>
                <w:rFonts w:eastAsia="Aptos"/>
                <w:sz w:val="22"/>
                <w:szCs w:val="22"/>
              </w:rPr>
              <w:t>Treatment</w:t>
            </w:r>
          </w:p>
        </w:tc>
        <w:tc>
          <w:tcPr>
            <w:tcW w:w="1620" w:type="dxa"/>
            <w:tcBorders>
              <w:top w:val="nil"/>
              <w:left w:val="nil"/>
              <w:bottom w:val="nil"/>
              <w:right w:val="nil"/>
            </w:tcBorders>
          </w:tcPr>
          <w:p w14:paraId="40718FE8" w14:textId="77777777" w:rsidR="002C5808" w:rsidRPr="00725800" w:rsidRDefault="002C5808" w:rsidP="009B4C1E">
            <w:pPr>
              <w:jc w:val="right"/>
              <w:rPr>
                <w:rFonts w:eastAsia="Aptos"/>
                <w:sz w:val="22"/>
                <w:szCs w:val="22"/>
              </w:rPr>
            </w:pPr>
            <w:r w:rsidRPr="00725800">
              <w:rPr>
                <w:sz w:val="22"/>
                <w:szCs w:val="22"/>
              </w:rPr>
              <w:t>9.936 (1, 62)</w:t>
            </w:r>
          </w:p>
        </w:tc>
        <w:tc>
          <w:tcPr>
            <w:tcW w:w="1170" w:type="dxa"/>
            <w:tcBorders>
              <w:top w:val="nil"/>
              <w:left w:val="nil"/>
              <w:bottom w:val="nil"/>
              <w:right w:val="nil"/>
            </w:tcBorders>
          </w:tcPr>
          <w:p w14:paraId="5FAA904B" w14:textId="77777777" w:rsidR="002C5808" w:rsidRPr="00725800" w:rsidRDefault="002C5808" w:rsidP="009B4C1E">
            <w:pPr>
              <w:jc w:val="right"/>
              <w:rPr>
                <w:rFonts w:eastAsia="Aptos"/>
                <w:b/>
                <w:bCs/>
                <w:sz w:val="22"/>
                <w:szCs w:val="22"/>
              </w:rPr>
            </w:pPr>
            <w:r w:rsidRPr="00725800">
              <w:rPr>
                <w:b/>
                <w:bCs/>
                <w:sz w:val="22"/>
                <w:szCs w:val="22"/>
              </w:rPr>
              <w:t>0.002</w:t>
            </w:r>
          </w:p>
        </w:tc>
        <w:tc>
          <w:tcPr>
            <w:tcW w:w="900" w:type="dxa"/>
            <w:tcBorders>
              <w:top w:val="nil"/>
              <w:left w:val="nil"/>
              <w:bottom w:val="nil"/>
              <w:right w:val="nil"/>
            </w:tcBorders>
          </w:tcPr>
          <w:p w14:paraId="2D6E855C" w14:textId="77777777" w:rsidR="002C5808" w:rsidRPr="00725800" w:rsidRDefault="002C5808" w:rsidP="009B4C1E">
            <w:pPr>
              <w:jc w:val="right"/>
              <w:rPr>
                <w:sz w:val="22"/>
                <w:szCs w:val="22"/>
              </w:rPr>
            </w:pPr>
            <w:r w:rsidRPr="00725800">
              <w:rPr>
                <w:sz w:val="22"/>
                <w:szCs w:val="22"/>
              </w:rPr>
              <w:t>0.138</w:t>
            </w:r>
          </w:p>
        </w:tc>
        <w:tc>
          <w:tcPr>
            <w:tcW w:w="1530" w:type="dxa"/>
            <w:tcBorders>
              <w:top w:val="nil"/>
              <w:left w:val="nil"/>
              <w:bottom w:val="nil"/>
              <w:right w:val="nil"/>
            </w:tcBorders>
          </w:tcPr>
          <w:p w14:paraId="03FED46C" w14:textId="77777777" w:rsidR="002C5808" w:rsidRPr="00725800" w:rsidRDefault="002C5808" w:rsidP="009B4C1E">
            <w:pPr>
              <w:jc w:val="right"/>
              <w:rPr>
                <w:sz w:val="22"/>
                <w:szCs w:val="22"/>
              </w:rPr>
            </w:pPr>
            <w:r w:rsidRPr="00725800">
              <w:rPr>
                <w:sz w:val="22"/>
                <w:szCs w:val="22"/>
              </w:rPr>
              <w:t>[0.013, 0.348]</w:t>
            </w:r>
          </w:p>
        </w:tc>
      </w:tr>
      <w:tr w:rsidR="002C5808" w:rsidRPr="00725800" w14:paraId="258C6A7C" w14:textId="77777777" w:rsidTr="009B4C1E">
        <w:trPr>
          <w:trHeight w:val="379"/>
        </w:trPr>
        <w:tc>
          <w:tcPr>
            <w:tcW w:w="1980" w:type="dxa"/>
            <w:tcBorders>
              <w:top w:val="nil"/>
              <w:left w:val="nil"/>
              <w:bottom w:val="single" w:sz="4" w:space="0" w:color="auto"/>
              <w:right w:val="nil"/>
            </w:tcBorders>
          </w:tcPr>
          <w:p w14:paraId="2D6F00F3" w14:textId="77777777" w:rsidR="002C5808" w:rsidRPr="00725800" w:rsidRDefault="002C5808" w:rsidP="009B4C1E">
            <w:pPr>
              <w:rPr>
                <w:rFonts w:eastAsia="Aptos"/>
                <w:sz w:val="22"/>
                <w:szCs w:val="22"/>
              </w:rPr>
            </w:pPr>
          </w:p>
        </w:tc>
        <w:tc>
          <w:tcPr>
            <w:tcW w:w="1440" w:type="dxa"/>
            <w:tcBorders>
              <w:top w:val="nil"/>
              <w:left w:val="nil"/>
              <w:bottom w:val="single" w:sz="4" w:space="0" w:color="auto"/>
              <w:right w:val="nil"/>
            </w:tcBorders>
          </w:tcPr>
          <w:p w14:paraId="168432BC" w14:textId="77777777" w:rsidR="002C5808" w:rsidRPr="00725800" w:rsidRDefault="002C5808" w:rsidP="009B4C1E">
            <w:pPr>
              <w:rPr>
                <w:rFonts w:eastAsia="Aptos"/>
                <w:sz w:val="22"/>
                <w:szCs w:val="22"/>
              </w:rPr>
            </w:pPr>
            <w:r w:rsidRPr="00725800">
              <w:rPr>
                <w:rFonts w:eastAsia="Aptos"/>
                <w:sz w:val="22"/>
                <w:szCs w:val="22"/>
              </w:rPr>
              <w:t>Interaction</w:t>
            </w:r>
          </w:p>
        </w:tc>
        <w:tc>
          <w:tcPr>
            <w:tcW w:w="1620" w:type="dxa"/>
            <w:tcBorders>
              <w:top w:val="nil"/>
              <w:left w:val="nil"/>
              <w:bottom w:val="single" w:sz="4" w:space="0" w:color="auto"/>
              <w:right w:val="nil"/>
            </w:tcBorders>
          </w:tcPr>
          <w:p w14:paraId="689B2292" w14:textId="77777777" w:rsidR="002C5808" w:rsidRPr="00725800" w:rsidRDefault="002C5808" w:rsidP="009B4C1E">
            <w:pPr>
              <w:jc w:val="right"/>
              <w:rPr>
                <w:rFonts w:eastAsia="Aptos"/>
                <w:sz w:val="22"/>
                <w:szCs w:val="22"/>
              </w:rPr>
            </w:pPr>
            <w:r w:rsidRPr="00725800">
              <w:rPr>
                <w:sz w:val="22"/>
                <w:szCs w:val="22"/>
              </w:rPr>
              <w:t>0.389 (1, 62)</w:t>
            </w:r>
          </w:p>
        </w:tc>
        <w:tc>
          <w:tcPr>
            <w:tcW w:w="1170" w:type="dxa"/>
            <w:tcBorders>
              <w:top w:val="nil"/>
              <w:left w:val="nil"/>
              <w:bottom w:val="single" w:sz="4" w:space="0" w:color="auto"/>
              <w:right w:val="nil"/>
            </w:tcBorders>
          </w:tcPr>
          <w:p w14:paraId="228A37CC" w14:textId="77777777" w:rsidR="002C5808" w:rsidRPr="00725800" w:rsidRDefault="002C5808" w:rsidP="009B4C1E">
            <w:pPr>
              <w:jc w:val="right"/>
              <w:rPr>
                <w:rFonts w:eastAsia="Aptos"/>
                <w:sz w:val="22"/>
                <w:szCs w:val="22"/>
              </w:rPr>
            </w:pPr>
            <w:r w:rsidRPr="00725800">
              <w:rPr>
                <w:sz w:val="22"/>
                <w:szCs w:val="22"/>
              </w:rPr>
              <w:t>0.535</w:t>
            </w:r>
          </w:p>
        </w:tc>
        <w:tc>
          <w:tcPr>
            <w:tcW w:w="900" w:type="dxa"/>
            <w:tcBorders>
              <w:top w:val="nil"/>
              <w:left w:val="nil"/>
              <w:bottom w:val="single" w:sz="4" w:space="0" w:color="auto"/>
              <w:right w:val="nil"/>
            </w:tcBorders>
          </w:tcPr>
          <w:p w14:paraId="2B8B5125" w14:textId="77777777" w:rsidR="002C5808" w:rsidRPr="00725800" w:rsidRDefault="002C5808" w:rsidP="009B4C1E">
            <w:pPr>
              <w:jc w:val="right"/>
              <w:rPr>
                <w:sz w:val="22"/>
                <w:szCs w:val="22"/>
              </w:rPr>
            </w:pPr>
            <w:r w:rsidRPr="00725800">
              <w:rPr>
                <w:sz w:val="22"/>
                <w:szCs w:val="22"/>
              </w:rPr>
              <w:t>0.006</w:t>
            </w:r>
          </w:p>
        </w:tc>
        <w:tc>
          <w:tcPr>
            <w:tcW w:w="1530" w:type="dxa"/>
            <w:tcBorders>
              <w:top w:val="nil"/>
              <w:left w:val="nil"/>
              <w:bottom w:val="single" w:sz="4" w:space="0" w:color="auto"/>
              <w:right w:val="nil"/>
            </w:tcBorders>
          </w:tcPr>
          <w:p w14:paraId="1AB4CF96" w14:textId="77777777" w:rsidR="002C5808" w:rsidRPr="00725800" w:rsidRDefault="002C5808" w:rsidP="009B4C1E">
            <w:pPr>
              <w:jc w:val="right"/>
              <w:rPr>
                <w:sz w:val="22"/>
                <w:szCs w:val="22"/>
              </w:rPr>
            </w:pPr>
            <w:r w:rsidRPr="00725800">
              <w:rPr>
                <w:sz w:val="22"/>
                <w:szCs w:val="22"/>
              </w:rPr>
              <w:t>[0.000, 0.118]</w:t>
            </w:r>
          </w:p>
        </w:tc>
      </w:tr>
      <w:tr w:rsidR="002C5808" w:rsidRPr="00725800" w14:paraId="0DB446C5" w14:textId="77777777" w:rsidTr="009B4C1E">
        <w:trPr>
          <w:trHeight w:val="379"/>
        </w:trPr>
        <w:tc>
          <w:tcPr>
            <w:tcW w:w="1980" w:type="dxa"/>
            <w:tcBorders>
              <w:top w:val="single" w:sz="4" w:space="0" w:color="auto"/>
              <w:left w:val="nil"/>
              <w:bottom w:val="nil"/>
              <w:right w:val="nil"/>
            </w:tcBorders>
          </w:tcPr>
          <w:p w14:paraId="16DDEB58" w14:textId="77777777" w:rsidR="002C5808" w:rsidRPr="00725800" w:rsidRDefault="002C5808" w:rsidP="009B4C1E">
            <w:pPr>
              <w:rPr>
                <w:rFonts w:eastAsia="Aptos"/>
                <w:sz w:val="22"/>
                <w:szCs w:val="22"/>
              </w:rPr>
            </w:pPr>
            <w:r w:rsidRPr="00725800">
              <w:rPr>
                <w:rFonts w:eastAsia="Aptos"/>
                <w:sz w:val="22"/>
                <w:szCs w:val="22"/>
              </w:rPr>
              <w:t>Hindlimb Clasp</w:t>
            </w:r>
          </w:p>
        </w:tc>
        <w:tc>
          <w:tcPr>
            <w:tcW w:w="1440" w:type="dxa"/>
            <w:tcBorders>
              <w:top w:val="single" w:sz="4" w:space="0" w:color="auto"/>
              <w:left w:val="nil"/>
              <w:bottom w:val="nil"/>
              <w:right w:val="nil"/>
            </w:tcBorders>
          </w:tcPr>
          <w:p w14:paraId="5A9A4FB5" w14:textId="77777777" w:rsidR="002C5808" w:rsidRPr="00725800" w:rsidRDefault="002C5808" w:rsidP="009B4C1E">
            <w:pPr>
              <w:rPr>
                <w:rFonts w:eastAsia="Aptos"/>
                <w:sz w:val="22"/>
                <w:szCs w:val="22"/>
              </w:rPr>
            </w:pPr>
            <w:r w:rsidRPr="00725800">
              <w:rPr>
                <w:rFonts w:eastAsia="Aptos"/>
                <w:sz w:val="22"/>
                <w:szCs w:val="22"/>
              </w:rPr>
              <w:t>Genotype</w:t>
            </w:r>
          </w:p>
        </w:tc>
        <w:tc>
          <w:tcPr>
            <w:tcW w:w="1620" w:type="dxa"/>
            <w:tcBorders>
              <w:top w:val="single" w:sz="4" w:space="0" w:color="auto"/>
              <w:left w:val="nil"/>
              <w:bottom w:val="nil"/>
              <w:right w:val="nil"/>
            </w:tcBorders>
          </w:tcPr>
          <w:p w14:paraId="6CF0AA31" w14:textId="77777777" w:rsidR="002C5808" w:rsidRPr="00725800" w:rsidRDefault="002C5808" w:rsidP="009B4C1E">
            <w:pPr>
              <w:jc w:val="right"/>
              <w:rPr>
                <w:rFonts w:eastAsia="Aptos"/>
                <w:sz w:val="22"/>
                <w:szCs w:val="22"/>
              </w:rPr>
            </w:pPr>
            <w:r w:rsidRPr="00725800">
              <w:rPr>
                <w:sz w:val="22"/>
                <w:szCs w:val="22"/>
              </w:rPr>
              <w:t>7.175 (1, 52)</w:t>
            </w:r>
          </w:p>
        </w:tc>
        <w:tc>
          <w:tcPr>
            <w:tcW w:w="1170" w:type="dxa"/>
            <w:tcBorders>
              <w:top w:val="single" w:sz="4" w:space="0" w:color="auto"/>
              <w:left w:val="nil"/>
              <w:bottom w:val="nil"/>
              <w:right w:val="nil"/>
            </w:tcBorders>
          </w:tcPr>
          <w:p w14:paraId="67BE1907" w14:textId="77777777" w:rsidR="002C5808" w:rsidRPr="00725800" w:rsidRDefault="002C5808" w:rsidP="009B4C1E">
            <w:pPr>
              <w:jc w:val="right"/>
              <w:rPr>
                <w:rFonts w:eastAsia="Aptos"/>
                <w:b/>
                <w:bCs/>
                <w:sz w:val="22"/>
                <w:szCs w:val="22"/>
              </w:rPr>
            </w:pPr>
            <w:r w:rsidRPr="00725800">
              <w:rPr>
                <w:b/>
                <w:bCs/>
                <w:sz w:val="22"/>
                <w:szCs w:val="22"/>
              </w:rPr>
              <w:t>0.010</w:t>
            </w:r>
          </w:p>
        </w:tc>
        <w:tc>
          <w:tcPr>
            <w:tcW w:w="900" w:type="dxa"/>
            <w:tcBorders>
              <w:top w:val="single" w:sz="4" w:space="0" w:color="auto"/>
              <w:left w:val="nil"/>
              <w:bottom w:val="nil"/>
              <w:right w:val="nil"/>
            </w:tcBorders>
          </w:tcPr>
          <w:p w14:paraId="02D30BDF" w14:textId="77777777" w:rsidR="002C5808" w:rsidRPr="00725800" w:rsidRDefault="002C5808" w:rsidP="009B4C1E">
            <w:pPr>
              <w:jc w:val="right"/>
              <w:rPr>
                <w:sz w:val="22"/>
                <w:szCs w:val="22"/>
              </w:rPr>
            </w:pPr>
            <w:r w:rsidRPr="00725800">
              <w:rPr>
                <w:sz w:val="22"/>
                <w:szCs w:val="22"/>
              </w:rPr>
              <w:t>0.121</w:t>
            </w:r>
          </w:p>
        </w:tc>
        <w:tc>
          <w:tcPr>
            <w:tcW w:w="1530" w:type="dxa"/>
            <w:tcBorders>
              <w:top w:val="single" w:sz="4" w:space="0" w:color="auto"/>
              <w:left w:val="nil"/>
              <w:bottom w:val="nil"/>
              <w:right w:val="nil"/>
            </w:tcBorders>
          </w:tcPr>
          <w:p w14:paraId="757B13D2" w14:textId="77777777" w:rsidR="002C5808" w:rsidRPr="00725800" w:rsidRDefault="002C5808" w:rsidP="009B4C1E">
            <w:pPr>
              <w:jc w:val="right"/>
              <w:rPr>
                <w:sz w:val="22"/>
                <w:szCs w:val="22"/>
              </w:rPr>
            </w:pPr>
            <w:r w:rsidRPr="00725800">
              <w:rPr>
                <w:sz w:val="22"/>
                <w:szCs w:val="22"/>
              </w:rPr>
              <w:t>[0.003, 0.366]</w:t>
            </w:r>
          </w:p>
        </w:tc>
      </w:tr>
      <w:tr w:rsidR="002C5808" w:rsidRPr="00725800" w14:paraId="67E16B89" w14:textId="77777777" w:rsidTr="009B4C1E">
        <w:trPr>
          <w:trHeight w:val="379"/>
        </w:trPr>
        <w:tc>
          <w:tcPr>
            <w:tcW w:w="1980" w:type="dxa"/>
            <w:tcBorders>
              <w:top w:val="nil"/>
              <w:left w:val="nil"/>
              <w:bottom w:val="nil"/>
              <w:right w:val="nil"/>
            </w:tcBorders>
          </w:tcPr>
          <w:p w14:paraId="580BB820" w14:textId="77777777" w:rsidR="002C5808" w:rsidRPr="00725800" w:rsidRDefault="002C5808" w:rsidP="009B4C1E">
            <w:pPr>
              <w:rPr>
                <w:rFonts w:eastAsia="Aptos"/>
                <w:sz w:val="22"/>
                <w:szCs w:val="22"/>
              </w:rPr>
            </w:pPr>
          </w:p>
        </w:tc>
        <w:tc>
          <w:tcPr>
            <w:tcW w:w="1440" w:type="dxa"/>
            <w:tcBorders>
              <w:top w:val="nil"/>
              <w:left w:val="nil"/>
              <w:bottom w:val="nil"/>
              <w:right w:val="nil"/>
            </w:tcBorders>
          </w:tcPr>
          <w:p w14:paraId="54A3852E" w14:textId="77777777" w:rsidR="002C5808" w:rsidRPr="00725800" w:rsidRDefault="002C5808" w:rsidP="009B4C1E">
            <w:pPr>
              <w:rPr>
                <w:rFonts w:eastAsia="Aptos"/>
                <w:sz w:val="22"/>
                <w:szCs w:val="22"/>
              </w:rPr>
            </w:pPr>
            <w:r w:rsidRPr="00725800">
              <w:rPr>
                <w:rFonts w:eastAsia="Aptos"/>
                <w:sz w:val="22"/>
                <w:szCs w:val="22"/>
              </w:rPr>
              <w:t>Treatment</w:t>
            </w:r>
          </w:p>
        </w:tc>
        <w:tc>
          <w:tcPr>
            <w:tcW w:w="1620" w:type="dxa"/>
            <w:tcBorders>
              <w:top w:val="nil"/>
              <w:left w:val="nil"/>
              <w:bottom w:val="nil"/>
              <w:right w:val="nil"/>
            </w:tcBorders>
          </w:tcPr>
          <w:p w14:paraId="20392296" w14:textId="77777777" w:rsidR="002C5808" w:rsidRPr="00725800" w:rsidRDefault="002C5808" w:rsidP="009B4C1E">
            <w:pPr>
              <w:jc w:val="right"/>
              <w:rPr>
                <w:rFonts w:eastAsia="Aptos"/>
                <w:sz w:val="22"/>
                <w:szCs w:val="22"/>
              </w:rPr>
            </w:pPr>
            <w:r w:rsidRPr="00725800">
              <w:rPr>
                <w:sz w:val="22"/>
                <w:szCs w:val="22"/>
              </w:rPr>
              <w:t>1.433 (1, 52)</w:t>
            </w:r>
          </w:p>
        </w:tc>
        <w:tc>
          <w:tcPr>
            <w:tcW w:w="1170" w:type="dxa"/>
            <w:tcBorders>
              <w:top w:val="nil"/>
              <w:left w:val="nil"/>
              <w:bottom w:val="nil"/>
              <w:right w:val="nil"/>
            </w:tcBorders>
          </w:tcPr>
          <w:p w14:paraId="4AF0850C" w14:textId="77777777" w:rsidR="002C5808" w:rsidRPr="00725800" w:rsidRDefault="002C5808" w:rsidP="009B4C1E">
            <w:pPr>
              <w:jc w:val="right"/>
              <w:rPr>
                <w:rFonts w:eastAsia="Aptos"/>
                <w:sz w:val="22"/>
                <w:szCs w:val="22"/>
              </w:rPr>
            </w:pPr>
            <w:r w:rsidRPr="00725800">
              <w:rPr>
                <w:sz w:val="22"/>
                <w:szCs w:val="22"/>
              </w:rPr>
              <w:t>0.237</w:t>
            </w:r>
          </w:p>
        </w:tc>
        <w:tc>
          <w:tcPr>
            <w:tcW w:w="900" w:type="dxa"/>
            <w:tcBorders>
              <w:top w:val="nil"/>
              <w:left w:val="nil"/>
              <w:bottom w:val="nil"/>
              <w:right w:val="nil"/>
            </w:tcBorders>
          </w:tcPr>
          <w:p w14:paraId="082CEBD0" w14:textId="77777777" w:rsidR="002C5808" w:rsidRPr="00725800" w:rsidRDefault="002C5808" w:rsidP="009B4C1E">
            <w:pPr>
              <w:jc w:val="right"/>
              <w:rPr>
                <w:sz w:val="22"/>
                <w:szCs w:val="22"/>
              </w:rPr>
            </w:pPr>
            <w:r w:rsidRPr="00725800">
              <w:rPr>
                <w:sz w:val="22"/>
                <w:szCs w:val="22"/>
              </w:rPr>
              <w:t>0.027</w:t>
            </w:r>
          </w:p>
        </w:tc>
        <w:tc>
          <w:tcPr>
            <w:tcW w:w="1530" w:type="dxa"/>
            <w:tcBorders>
              <w:top w:val="nil"/>
              <w:left w:val="nil"/>
              <w:bottom w:val="nil"/>
              <w:right w:val="nil"/>
            </w:tcBorders>
          </w:tcPr>
          <w:p w14:paraId="3E5F44DB" w14:textId="77777777" w:rsidR="002C5808" w:rsidRPr="00725800" w:rsidRDefault="002C5808" w:rsidP="009B4C1E">
            <w:pPr>
              <w:jc w:val="right"/>
              <w:rPr>
                <w:sz w:val="22"/>
                <w:szCs w:val="22"/>
              </w:rPr>
            </w:pPr>
            <w:r w:rsidRPr="00725800">
              <w:rPr>
                <w:sz w:val="22"/>
                <w:szCs w:val="22"/>
              </w:rPr>
              <w:t>[0.000, 0.207]</w:t>
            </w:r>
          </w:p>
        </w:tc>
      </w:tr>
      <w:tr w:rsidR="002C5808" w:rsidRPr="00725800" w14:paraId="63123213" w14:textId="77777777" w:rsidTr="009B4C1E">
        <w:trPr>
          <w:trHeight w:val="379"/>
        </w:trPr>
        <w:tc>
          <w:tcPr>
            <w:tcW w:w="1980" w:type="dxa"/>
            <w:tcBorders>
              <w:top w:val="nil"/>
              <w:left w:val="nil"/>
              <w:bottom w:val="single" w:sz="4" w:space="0" w:color="auto"/>
              <w:right w:val="nil"/>
            </w:tcBorders>
          </w:tcPr>
          <w:p w14:paraId="4DE748C6" w14:textId="77777777" w:rsidR="002C5808" w:rsidRPr="00725800" w:rsidRDefault="002C5808" w:rsidP="009B4C1E">
            <w:pPr>
              <w:rPr>
                <w:rFonts w:eastAsia="Aptos"/>
                <w:sz w:val="22"/>
                <w:szCs w:val="22"/>
              </w:rPr>
            </w:pPr>
          </w:p>
        </w:tc>
        <w:tc>
          <w:tcPr>
            <w:tcW w:w="1440" w:type="dxa"/>
            <w:tcBorders>
              <w:top w:val="nil"/>
              <w:left w:val="nil"/>
              <w:bottom w:val="single" w:sz="4" w:space="0" w:color="auto"/>
              <w:right w:val="nil"/>
            </w:tcBorders>
          </w:tcPr>
          <w:p w14:paraId="3CDFC43F" w14:textId="77777777" w:rsidR="002C5808" w:rsidRPr="00725800" w:rsidRDefault="002C5808" w:rsidP="009B4C1E">
            <w:pPr>
              <w:rPr>
                <w:rFonts w:eastAsia="Aptos"/>
                <w:sz w:val="22"/>
                <w:szCs w:val="22"/>
              </w:rPr>
            </w:pPr>
            <w:r w:rsidRPr="00725800">
              <w:rPr>
                <w:rFonts w:eastAsia="Aptos"/>
                <w:sz w:val="22"/>
                <w:szCs w:val="22"/>
              </w:rPr>
              <w:t>Interaction</w:t>
            </w:r>
          </w:p>
        </w:tc>
        <w:tc>
          <w:tcPr>
            <w:tcW w:w="1620" w:type="dxa"/>
            <w:tcBorders>
              <w:top w:val="nil"/>
              <w:left w:val="nil"/>
              <w:bottom w:val="single" w:sz="4" w:space="0" w:color="auto"/>
              <w:right w:val="nil"/>
            </w:tcBorders>
          </w:tcPr>
          <w:p w14:paraId="6F788970" w14:textId="77777777" w:rsidR="002C5808" w:rsidRPr="00725800" w:rsidRDefault="002C5808" w:rsidP="009B4C1E">
            <w:pPr>
              <w:jc w:val="right"/>
              <w:rPr>
                <w:rFonts w:eastAsia="Aptos"/>
                <w:sz w:val="22"/>
                <w:szCs w:val="22"/>
              </w:rPr>
            </w:pPr>
            <w:r w:rsidRPr="00725800">
              <w:rPr>
                <w:sz w:val="22"/>
                <w:szCs w:val="22"/>
              </w:rPr>
              <w:t>0.603 (1, 52)</w:t>
            </w:r>
          </w:p>
        </w:tc>
        <w:tc>
          <w:tcPr>
            <w:tcW w:w="1170" w:type="dxa"/>
            <w:tcBorders>
              <w:top w:val="nil"/>
              <w:left w:val="nil"/>
              <w:bottom w:val="single" w:sz="4" w:space="0" w:color="auto"/>
              <w:right w:val="nil"/>
            </w:tcBorders>
          </w:tcPr>
          <w:p w14:paraId="7E3D84BF" w14:textId="77777777" w:rsidR="002C5808" w:rsidRPr="00725800" w:rsidRDefault="002C5808" w:rsidP="009B4C1E">
            <w:pPr>
              <w:jc w:val="right"/>
              <w:rPr>
                <w:rFonts w:eastAsia="Aptos"/>
                <w:sz w:val="22"/>
                <w:szCs w:val="22"/>
              </w:rPr>
            </w:pPr>
            <w:r w:rsidRPr="00725800">
              <w:rPr>
                <w:sz w:val="22"/>
                <w:szCs w:val="22"/>
              </w:rPr>
              <w:t>0.441</w:t>
            </w:r>
          </w:p>
        </w:tc>
        <w:tc>
          <w:tcPr>
            <w:tcW w:w="900" w:type="dxa"/>
            <w:tcBorders>
              <w:top w:val="nil"/>
              <w:left w:val="nil"/>
              <w:bottom w:val="single" w:sz="4" w:space="0" w:color="auto"/>
              <w:right w:val="nil"/>
            </w:tcBorders>
          </w:tcPr>
          <w:p w14:paraId="191A855B" w14:textId="77777777" w:rsidR="002C5808" w:rsidRPr="00725800" w:rsidRDefault="002C5808" w:rsidP="009B4C1E">
            <w:pPr>
              <w:jc w:val="right"/>
              <w:rPr>
                <w:sz w:val="22"/>
                <w:szCs w:val="22"/>
              </w:rPr>
            </w:pPr>
            <w:r w:rsidRPr="00725800">
              <w:rPr>
                <w:sz w:val="22"/>
                <w:szCs w:val="22"/>
              </w:rPr>
              <w:t>0.011</w:t>
            </w:r>
          </w:p>
        </w:tc>
        <w:tc>
          <w:tcPr>
            <w:tcW w:w="1530" w:type="dxa"/>
            <w:tcBorders>
              <w:top w:val="nil"/>
              <w:left w:val="nil"/>
              <w:bottom w:val="single" w:sz="4" w:space="0" w:color="auto"/>
              <w:right w:val="nil"/>
            </w:tcBorders>
          </w:tcPr>
          <w:p w14:paraId="297AB22D" w14:textId="77777777" w:rsidR="002C5808" w:rsidRPr="00725800" w:rsidRDefault="002C5808" w:rsidP="009B4C1E">
            <w:pPr>
              <w:jc w:val="right"/>
              <w:rPr>
                <w:sz w:val="22"/>
                <w:szCs w:val="22"/>
              </w:rPr>
            </w:pPr>
            <w:r w:rsidRPr="00725800">
              <w:rPr>
                <w:sz w:val="22"/>
                <w:szCs w:val="22"/>
              </w:rPr>
              <w:t>[0.000, 0.178]</w:t>
            </w:r>
          </w:p>
        </w:tc>
      </w:tr>
    </w:tbl>
    <w:p w14:paraId="4C17F8EA" w14:textId="0A0233AF" w:rsidR="002C5808" w:rsidRDefault="002C5808" w:rsidP="002C5808">
      <w:pPr>
        <w:spacing w:after="0" w:line="240" w:lineRule="auto"/>
      </w:pPr>
      <w:r w:rsidRPr="000554D4">
        <w:t xml:space="preserve">F, F-ratio; </w:t>
      </w:r>
      <w:proofErr w:type="spellStart"/>
      <w:r w:rsidRPr="000554D4">
        <w:t>df</w:t>
      </w:r>
      <w:proofErr w:type="spellEnd"/>
      <w:r w:rsidRPr="000554D4">
        <w:t xml:space="preserve">, degrees of freedom; p, p-value; </w:t>
      </w:r>
      <w:r w:rsidRPr="00D957F3">
        <w:t>η</w:t>
      </w:r>
      <w:r w:rsidRPr="00D957F3">
        <w:rPr>
          <w:vertAlign w:val="subscript"/>
        </w:rPr>
        <w:t>p</w:t>
      </w:r>
      <w:r w:rsidRPr="00D957F3">
        <w:rPr>
          <w:vertAlign w:val="superscript"/>
        </w:rPr>
        <w:t>2</w:t>
      </w:r>
      <w:r w:rsidRPr="000554D4">
        <w:t xml:space="preserve">, partial eta-squared; CI, confidence interval (bootstrapped, 5,000 resamples). Bold values indicate statistical significance (p &lt; 0.05). Total Distance and Basic Movement: PS19 PAMPs n = 15, PS19 </w:t>
      </w:r>
      <w:r w:rsidR="00F60CD0">
        <w:t>v</w:t>
      </w:r>
      <w:r w:rsidRPr="000554D4">
        <w:t xml:space="preserve">ehicle n = 15, </w:t>
      </w:r>
      <w:proofErr w:type="gramStart"/>
      <w:r w:rsidRPr="000554D4">
        <w:t>Non-</w:t>
      </w:r>
      <w:proofErr w:type="spellStart"/>
      <w:r w:rsidRPr="000554D4">
        <w:t>Tg</w:t>
      </w:r>
      <w:proofErr w:type="spellEnd"/>
      <w:r w:rsidRPr="000554D4">
        <w:t xml:space="preserve"> PAMPs</w:t>
      </w:r>
      <w:proofErr w:type="gramEnd"/>
      <w:r w:rsidRPr="000554D4">
        <w:t xml:space="preserve"> n = 19, </w:t>
      </w:r>
      <w:r>
        <w:t xml:space="preserve">and </w:t>
      </w:r>
      <w:proofErr w:type="gramStart"/>
      <w:r w:rsidRPr="000554D4">
        <w:t>Non-</w:t>
      </w:r>
      <w:proofErr w:type="spellStart"/>
      <w:r w:rsidRPr="000554D4">
        <w:t>Tg</w:t>
      </w:r>
      <w:proofErr w:type="spellEnd"/>
      <w:proofErr w:type="gramEnd"/>
      <w:r w:rsidRPr="000554D4">
        <w:t xml:space="preserve"> </w:t>
      </w:r>
      <w:r w:rsidR="00F60CD0">
        <w:t>v</w:t>
      </w:r>
      <w:r w:rsidRPr="000554D4">
        <w:t xml:space="preserve">ehicle n = 17; Hindlimb clasp: PS19 PAMPs n = 12, PS19 </w:t>
      </w:r>
      <w:r w:rsidR="00F60CD0">
        <w:t>v</w:t>
      </w:r>
      <w:r w:rsidRPr="000554D4">
        <w:t xml:space="preserve">ehicle n = 13, </w:t>
      </w:r>
      <w:proofErr w:type="gramStart"/>
      <w:r w:rsidRPr="000554D4">
        <w:t>Non-</w:t>
      </w:r>
      <w:proofErr w:type="spellStart"/>
      <w:r w:rsidRPr="000554D4">
        <w:t>Tg</w:t>
      </w:r>
      <w:proofErr w:type="spellEnd"/>
      <w:r w:rsidRPr="000554D4">
        <w:t xml:space="preserve"> PAMPs</w:t>
      </w:r>
      <w:proofErr w:type="gramEnd"/>
      <w:r w:rsidRPr="000554D4">
        <w:t xml:space="preserve"> n = 15, </w:t>
      </w:r>
      <w:r>
        <w:t xml:space="preserve">and </w:t>
      </w:r>
      <w:proofErr w:type="gramStart"/>
      <w:r w:rsidRPr="000554D4">
        <w:t>Non-</w:t>
      </w:r>
      <w:proofErr w:type="spellStart"/>
      <w:r w:rsidRPr="000554D4">
        <w:t>Tg</w:t>
      </w:r>
      <w:proofErr w:type="spellEnd"/>
      <w:proofErr w:type="gramEnd"/>
      <w:r w:rsidRPr="000554D4">
        <w:t xml:space="preserve"> </w:t>
      </w:r>
      <w:r w:rsidR="00F60CD0">
        <w:t>v</w:t>
      </w:r>
      <w:r w:rsidRPr="000554D4">
        <w:t>ehicle n = 16.</w:t>
      </w:r>
    </w:p>
    <w:p w14:paraId="26CCCE5F" w14:textId="77777777" w:rsidR="002C5808" w:rsidRDefault="002C5808" w:rsidP="002C5808">
      <w:pPr>
        <w:spacing w:after="0" w:line="240" w:lineRule="auto"/>
      </w:pPr>
    </w:p>
    <w:p w14:paraId="66600420" w14:textId="6695A6EE" w:rsidR="00537DD6" w:rsidRPr="00D957F3" w:rsidRDefault="000E581E" w:rsidP="0003368D">
      <w:pPr>
        <w:spacing w:after="0" w:line="240" w:lineRule="auto"/>
        <w:rPr>
          <w:b/>
          <w:bCs/>
        </w:rPr>
      </w:pPr>
      <w:r w:rsidRPr="00D957F3">
        <w:rPr>
          <w:b/>
          <w:bCs/>
        </w:rPr>
        <w:t>Histological measures of phosphorylated tau and total human tau</w:t>
      </w:r>
    </w:p>
    <w:p w14:paraId="5AA4BE80" w14:textId="2966837C" w:rsidR="00613FA8" w:rsidRDefault="0049231E" w:rsidP="00613FA8">
      <w:pPr>
        <w:spacing w:after="0" w:line="240" w:lineRule="auto"/>
        <w:ind w:firstLine="720"/>
      </w:pPr>
      <w:r>
        <w:rPr>
          <w:noProof/>
        </w:rPr>
        <mc:AlternateContent>
          <mc:Choice Requires="wps">
            <w:drawing>
              <wp:anchor distT="45720" distB="45720" distL="114300" distR="114300" simplePos="0" relativeHeight="251673600" behindDoc="0" locked="0" layoutInCell="1" allowOverlap="1" wp14:anchorId="58348305" wp14:editId="16967567">
                <wp:simplePos x="0" y="0"/>
                <wp:positionH relativeFrom="margin">
                  <wp:posOffset>11876</wp:posOffset>
                </wp:positionH>
                <wp:positionV relativeFrom="paragraph">
                  <wp:posOffset>4650583</wp:posOffset>
                </wp:positionV>
                <wp:extent cx="5923280" cy="3104515"/>
                <wp:effectExtent l="0" t="0" r="20320" b="19685"/>
                <wp:wrapSquare wrapText="bothSides"/>
                <wp:docPr id="220769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3104515"/>
                        </a:xfrm>
                        <a:prstGeom prst="rect">
                          <a:avLst/>
                        </a:prstGeom>
                        <a:solidFill>
                          <a:srgbClr val="FFFFFF"/>
                        </a:solidFill>
                        <a:ln w="9525">
                          <a:solidFill>
                            <a:srgbClr val="000000"/>
                          </a:solidFill>
                          <a:miter lim="800000"/>
                          <a:headEnd/>
                          <a:tailEnd/>
                        </a:ln>
                      </wps:spPr>
                      <wps:txbx>
                        <w:txbxContent>
                          <w:p w14:paraId="28775ACA" w14:textId="77777777" w:rsidR="0049231E" w:rsidRDefault="0049231E" w:rsidP="0049231E">
                            <w:r>
                              <w:rPr>
                                <w:noProof/>
                              </w:rPr>
                              <w:drawing>
                                <wp:inline distT="0" distB="0" distL="0" distR="0" wp14:anchorId="05E2CEC1" wp14:editId="69226DA5">
                                  <wp:extent cx="5660341" cy="1572567"/>
                                  <wp:effectExtent l="0" t="0" r="0" b="8890"/>
                                  <wp:docPr id="3574650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38065" name="Picture 1114338065"/>
                                          <pic:cNvPicPr/>
                                        </pic:nvPicPr>
                                        <pic:blipFill>
                                          <a:blip r:embed="rId9">
                                            <a:extLst>
                                              <a:ext uri="{28A0092B-C50C-407E-A947-70E740481C1C}">
                                                <a14:useLocalDpi xmlns:a14="http://schemas.microsoft.com/office/drawing/2010/main" val="0"/>
                                              </a:ext>
                                            </a:extLst>
                                          </a:blip>
                                          <a:stretch>
                                            <a:fillRect/>
                                          </a:stretch>
                                        </pic:blipFill>
                                        <pic:spPr>
                                          <a:xfrm>
                                            <a:off x="0" y="0"/>
                                            <a:ext cx="5783084" cy="1606668"/>
                                          </a:xfrm>
                                          <a:prstGeom prst="rect">
                                            <a:avLst/>
                                          </a:prstGeom>
                                        </pic:spPr>
                                      </pic:pic>
                                    </a:graphicData>
                                  </a:graphic>
                                </wp:inline>
                              </w:drawing>
                            </w:r>
                            <w:r w:rsidRPr="00613FA8">
                              <w:t xml:space="preserve">Fig 5. Systemic PAMP treatment increases hippocampal AT8 p-tau deposition in PS19 mice. Representative hippocampal sections showing AT8 in (A) PS19 PAMPs and (B) PS19 Vehicle mice. Scale bar = 300 µm. (C, D) Enlarged hippocampal insets indicating neuronal </w:t>
                            </w:r>
                            <w:proofErr w:type="spellStart"/>
                            <w:r w:rsidRPr="00613FA8">
                              <w:t>somatodendritic</w:t>
                            </w:r>
                            <w:proofErr w:type="spellEnd"/>
                            <w:r w:rsidRPr="00613FA8">
                              <w:t xml:space="preserve"> tau accumulation and neurofibrillary-like inclusions. Inset scale bar = 20 µm. (E) Quantification of AT8 percent area showing significantly elevated levels in PS19 PAMPs compared to PS19 Vehicle (p = 0.015). Data are presented as median with IQR. PS19 PAMPs n = 23 and PS19 Vehicle n = 16. Group differences were assessed using MWU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348305" id="_x0000_s1027" type="#_x0000_t202" style="position:absolute;left:0;text-align:left;margin-left:.95pt;margin-top:366.2pt;width:466.4pt;height:244.4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">
                <v:textbox>
                  <w:txbxContent>
                    <w:p w14:paraId="28775ACA" w14:textId="77777777" w:rsidR="0049231E" w:rsidRDefault="0049231E" w:rsidP="0049231E">
                      <w:r>
                        <w:rPr>
                          <w:noProof/>
                        </w:rPr>
                        <w:drawing>
                          <wp:inline distT="0" distB="0" distL="0" distR="0" wp14:anchorId="05E2CEC1" wp14:editId="69226DA5">
                            <wp:extent cx="5660341" cy="1572567"/>
                            <wp:effectExtent l="0" t="0" r="0" b="8890"/>
                            <wp:docPr id="3574650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338065" name="Picture 1114338065"/>
                                    <pic:cNvPicPr/>
                                  </pic:nvPicPr>
                                  <pic:blipFill>
                                    <a:blip r:embed="rId9">
                                      <a:extLst>
                                        <a:ext uri="{28A0092B-C50C-407E-A947-70E740481C1C}">
                                          <a14:useLocalDpi xmlns:a14="http://schemas.microsoft.com/office/drawing/2010/main" val="0"/>
                                        </a:ext>
                                      </a:extLst>
                                    </a:blip>
                                    <a:stretch>
                                      <a:fillRect/>
                                    </a:stretch>
                                  </pic:blipFill>
                                  <pic:spPr>
                                    <a:xfrm>
                                      <a:off x="0" y="0"/>
                                      <a:ext cx="5783084" cy="1606668"/>
                                    </a:xfrm>
                                    <a:prstGeom prst="rect">
                                      <a:avLst/>
                                    </a:prstGeom>
                                  </pic:spPr>
                                </pic:pic>
                              </a:graphicData>
                            </a:graphic>
                          </wp:inline>
                        </w:drawing>
                      </w:r>
                      <w:r w:rsidRPr="00613FA8">
                        <w:t xml:space="preserve">Fig 5. Systemic PAMP treatment increases hippocampal AT8 p-tau deposition in PS19 mice. Representative hippocampal sections showing AT8 in (A) PS19 PAMPs and (B) PS19 Vehicle mice. Scale bar = 300 µm. (C, D) Enlarged hippocampal insets indicating neuronal </w:t>
                      </w:r>
                      <w:proofErr w:type="spellStart"/>
                      <w:r w:rsidRPr="00613FA8">
                        <w:t>somatodendritic</w:t>
                      </w:r>
                      <w:proofErr w:type="spellEnd"/>
                      <w:r w:rsidRPr="00613FA8">
                        <w:t xml:space="preserve"> tau accumulation and neurofibrillary-like inclusions. Inset scale bar = 20 µm. (E) Quantification of AT8 percent area showing significantly elevated levels in PS19 PAMPs compared to PS19 Vehicle (p = 0.015). Data are presented as median with IQR. PS19 PAMPs n = 23 and PS19 Vehicle n = 16. Group differences were assessed using MWU</w:t>
                      </w:r>
                    </w:p>
                  </w:txbxContent>
                </v:textbox>
                <w10:wrap type="square" anchorx="margin"/>
              </v:shape>
            </w:pict>
          </mc:Fallback>
        </mc:AlternateContent>
      </w:r>
      <w:r w:rsidR="00D622A1">
        <w:rPr>
          <w:noProof/>
        </w:rPr>
        <mc:AlternateContent>
          <mc:Choice Requires="wps">
            <w:drawing>
              <wp:anchor distT="45720" distB="45720" distL="114300" distR="114300" simplePos="0" relativeHeight="251665408" behindDoc="0" locked="0" layoutInCell="1" allowOverlap="1" wp14:anchorId="3BC3459F" wp14:editId="4A64B11C">
                <wp:simplePos x="0" y="0"/>
                <wp:positionH relativeFrom="margin">
                  <wp:align>right</wp:align>
                </wp:positionH>
                <wp:positionV relativeFrom="paragraph">
                  <wp:posOffset>2011045</wp:posOffset>
                </wp:positionV>
                <wp:extent cx="5923280" cy="2536825"/>
                <wp:effectExtent l="0" t="0" r="20320" b="15875"/>
                <wp:wrapSquare wrapText="bothSides"/>
                <wp:docPr id="2053498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2537209"/>
                        </a:xfrm>
                        <a:prstGeom prst="rect">
                          <a:avLst/>
                        </a:prstGeom>
                        <a:solidFill>
                          <a:srgbClr val="FFFFFF"/>
                        </a:solidFill>
                        <a:ln w="9525">
                          <a:solidFill>
                            <a:srgbClr val="000000"/>
                          </a:solidFill>
                          <a:miter lim="800000"/>
                          <a:headEnd/>
                          <a:tailEnd/>
                        </a:ln>
                      </wps:spPr>
                      <wps:txbx>
                        <w:txbxContent>
                          <w:p w14:paraId="0EAD0D3A" w14:textId="58F3EA62" w:rsidR="00D622A1" w:rsidRDefault="00D622A1" w:rsidP="00613FA8">
                            <w:pPr>
                              <w:spacing w:line="240" w:lineRule="auto"/>
                            </w:pPr>
                            <w:r>
                              <w:rPr>
                                <w:noProof/>
                              </w:rPr>
                              <w:drawing>
                                <wp:inline distT="0" distB="0" distL="0" distR="0" wp14:anchorId="20738D64" wp14:editId="3637FA4C">
                                  <wp:extent cx="5731510" cy="1368987"/>
                                  <wp:effectExtent l="0" t="0" r="2540" b="3175"/>
                                  <wp:docPr id="4396095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9553" name="Picture 439609553"/>
                                          <pic:cNvPicPr/>
                                        </pic:nvPicPr>
                                        <pic:blipFill>
                                          <a:blip r:embed="rId10">
                                            <a:extLst>
                                              <a:ext uri="{28A0092B-C50C-407E-A947-70E740481C1C}">
                                                <a14:useLocalDpi xmlns:a14="http://schemas.microsoft.com/office/drawing/2010/main" val="0"/>
                                              </a:ext>
                                            </a:extLst>
                                          </a:blip>
                                          <a:stretch>
                                            <a:fillRect/>
                                          </a:stretch>
                                        </pic:blipFill>
                                        <pic:spPr>
                                          <a:xfrm>
                                            <a:off x="0" y="0"/>
                                            <a:ext cx="5731510" cy="1368987"/>
                                          </a:xfrm>
                                          <a:prstGeom prst="rect">
                                            <a:avLst/>
                                          </a:prstGeom>
                                        </pic:spPr>
                                      </pic:pic>
                                    </a:graphicData>
                                  </a:graphic>
                                </wp:inline>
                              </w:drawing>
                            </w:r>
                            <w:r w:rsidRPr="00D622A1">
                              <w:t>Fig 4. Systemic PAMP treatment increases whole hemisphere AT8 p-tau pathology in PS19 mice. Representative whole hemisphere sections showing AT8 in (A) PS19 PAMPs and (B) PS19 Vehicle mice. Scale bar = 750 µm. (C) Quantification of AT8 percent area showing significantly elevated levels in PS19 PAMPs compared to PS19 Vehicle (p = 0.002). Data are presented as median with IQR. PS19 PAMPs n = 22 and PS19 Vehicle n = 16. Group differences were assessed using MWU.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3459F" id="_x0000_s1028" type="#_x0000_t202" style="position:absolute;left:0;text-align:left;margin-left:415.2pt;margin-top:158.35pt;width:466.4pt;height:199.7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">
                <v:textbox>
                  <w:txbxContent>
                    <w:p w14:paraId="0EAD0D3A" w14:textId="58F3EA62" w:rsidR="00D622A1" w:rsidRDefault="00D622A1" w:rsidP="00613FA8">
                      <w:pPr>
                        <w:spacing w:line="240" w:lineRule="auto"/>
                      </w:pPr>
                      <w:r>
                        <w:rPr>
                          <w:noProof/>
                        </w:rPr>
                        <w:drawing>
                          <wp:inline distT="0" distB="0" distL="0" distR="0" wp14:anchorId="20738D64" wp14:editId="3637FA4C">
                            <wp:extent cx="5731510" cy="1368987"/>
                            <wp:effectExtent l="0" t="0" r="2540" b="3175"/>
                            <wp:docPr id="4396095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09553" name="Picture 439609553"/>
                                    <pic:cNvPicPr/>
                                  </pic:nvPicPr>
                                  <pic:blipFill>
                                    <a:blip r:embed="rId10">
                                      <a:extLst>
                                        <a:ext uri="{28A0092B-C50C-407E-A947-70E740481C1C}">
                                          <a14:useLocalDpi xmlns:a14="http://schemas.microsoft.com/office/drawing/2010/main" val="0"/>
                                        </a:ext>
                                      </a:extLst>
                                    </a:blip>
                                    <a:stretch>
                                      <a:fillRect/>
                                    </a:stretch>
                                  </pic:blipFill>
                                  <pic:spPr>
                                    <a:xfrm>
                                      <a:off x="0" y="0"/>
                                      <a:ext cx="5731510" cy="1368987"/>
                                    </a:xfrm>
                                    <a:prstGeom prst="rect">
                                      <a:avLst/>
                                    </a:prstGeom>
                                  </pic:spPr>
                                </pic:pic>
                              </a:graphicData>
                            </a:graphic>
                          </wp:inline>
                        </w:drawing>
                      </w:r>
                      <w:r w:rsidRPr="00D622A1">
                        <w:t>Fig 4. Systemic PAMP treatment increases whole hemisphere AT8 p-tau pathology in PS19 mice. Representative whole hemisphere sections showing AT8 in (A) PS19 PAMPs and (B) PS19 Vehicle mice. Scale bar = 750 µm. (C) Quantification of AT8 percent area showing significantly elevated levels in PS19 PAMPs compared to PS19 Vehicle (p = 0.002). Data are presented as median with IQR. PS19 PAMPs n = 22 and PS19 Vehicle n = 16. Group differences were assessed using MWU.</w:t>
                      </w:r>
                    </w:p>
                  </w:txbxContent>
                </v:textbox>
                <w10:wrap type="square" anchorx="margin"/>
              </v:shape>
            </w:pict>
          </mc:Fallback>
        </mc:AlternateContent>
      </w:r>
      <w:r w:rsidR="000E581E" w:rsidRPr="00784DAF">
        <w:t xml:space="preserve">We measured phosphorylated tau in the PS19 mice with the antibody AT8, </w:t>
      </w:r>
      <w:r w:rsidR="00EA2DEF">
        <w:t>which recognizes tau phosphorylated at Ser202/Thr205</w:t>
      </w:r>
      <w:r w:rsidR="000E581E" w:rsidRPr="00784DAF">
        <w:t xml:space="preserve">. </w:t>
      </w:r>
      <w:r w:rsidR="00560A5D">
        <w:t>Non-</w:t>
      </w:r>
      <w:proofErr w:type="spellStart"/>
      <w:r w:rsidR="00560A5D">
        <w:t>Tg</w:t>
      </w:r>
      <w:proofErr w:type="spellEnd"/>
      <w:r w:rsidR="00560A5D">
        <w:t xml:space="preserve"> mice were not stained for AT8 or HT7 (see materials and methods); we therefore report PS19 mice only.</w:t>
      </w:r>
      <w:r w:rsidR="009913EC" w:rsidRPr="00784DAF">
        <w:t xml:space="preserve"> </w:t>
      </w:r>
      <w:r w:rsidR="000E581E" w:rsidRPr="00784DAF">
        <w:t xml:space="preserve">Whole hemisphere images of horizontal sections </w:t>
      </w:r>
      <w:r w:rsidR="00106F19" w:rsidRPr="00784DAF">
        <w:t>showed</w:t>
      </w:r>
      <w:r w:rsidR="000E581E" w:rsidRPr="00784DAF">
        <w:t xml:space="preserve"> high levels of AT8 staining in the hippocamp</w:t>
      </w:r>
      <w:r w:rsidR="00F55D9C">
        <w:t>us</w:t>
      </w:r>
      <w:r w:rsidR="000E581E" w:rsidRPr="00784DAF">
        <w:t>, posterior (entorhinal) cortex, and anterior cortex (Fig 4A</w:t>
      </w:r>
      <w:r w:rsidR="00FF3061">
        <w:t>, B</w:t>
      </w:r>
      <w:r w:rsidR="000E581E" w:rsidRPr="00784DAF">
        <w:t xml:space="preserve">). Low levels of staining </w:t>
      </w:r>
      <w:r w:rsidR="00106F19" w:rsidRPr="00784DAF">
        <w:t>were</w:t>
      </w:r>
      <w:r w:rsidR="000E581E" w:rsidRPr="00784DAF">
        <w:t xml:space="preserve"> found in the striatum and </w:t>
      </w:r>
      <w:r w:rsidR="000E581E" w:rsidRPr="00784DAF">
        <w:lastRenderedPageBreak/>
        <w:t xml:space="preserve">thalamus, and staining </w:t>
      </w:r>
      <w:r w:rsidR="00106F19" w:rsidRPr="00784DAF">
        <w:t>was</w:t>
      </w:r>
      <w:r w:rsidR="000E581E" w:rsidRPr="00784DAF">
        <w:t xml:space="preserve"> present in some </w:t>
      </w:r>
      <w:r w:rsidR="00F365CC" w:rsidRPr="00784DAF">
        <w:t>brainstem structures</w:t>
      </w:r>
      <w:r w:rsidR="000E581E" w:rsidRPr="00784DAF">
        <w:t xml:space="preserve">. </w:t>
      </w:r>
      <w:r w:rsidR="00106F19" w:rsidRPr="00784DAF">
        <w:t>T</w:t>
      </w:r>
      <w:r w:rsidR="009913EC" w:rsidRPr="00784DAF">
        <w:t>h</w:t>
      </w:r>
      <w:r w:rsidR="00AC2BE4" w:rsidRPr="00784DAF">
        <w:t>e</w:t>
      </w:r>
      <w:r w:rsidR="009913EC" w:rsidRPr="00784DAF">
        <w:t xml:space="preserve"> </w:t>
      </w:r>
      <w:r w:rsidR="00AC2BE4" w:rsidRPr="00784DAF">
        <w:t>positively stained</w:t>
      </w:r>
      <w:r w:rsidR="000E581E" w:rsidRPr="00784DAF">
        <w:t xml:space="preserve"> forebrain regions correspond to</w:t>
      </w:r>
      <w:r w:rsidR="00F365CC" w:rsidRPr="00784DAF">
        <w:t xml:space="preserve"> areas known to develop </w:t>
      </w:r>
      <w:r w:rsidR="000E581E" w:rsidRPr="00784DAF">
        <w:t>neurofibrillary tangle</w:t>
      </w:r>
      <w:r w:rsidR="00F365CC" w:rsidRPr="00784DAF">
        <w:t>s</w:t>
      </w:r>
      <w:r w:rsidR="00CB63ED">
        <w:t xml:space="preserve"> (NFTs)</w:t>
      </w:r>
      <w:r w:rsidR="000E581E" w:rsidRPr="00784DAF">
        <w:t xml:space="preserve"> in humans with AD</w:t>
      </w:r>
      <w:r w:rsidR="00106F19" w:rsidRPr="00784DAF">
        <w:t xml:space="preserve"> (Braak</w:t>
      </w:r>
      <w:r w:rsidR="00A03F0F" w:rsidRPr="00784DAF">
        <w:t xml:space="preserve"> &amp; Braak</w:t>
      </w:r>
      <w:r w:rsidR="00106F19" w:rsidRPr="00784DAF">
        <w:t>,</w:t>
      </w:r>
      <w:r w:rsidR="00A03F0F" w:rsidRPr="00784DAF">
        <w:t xml:space="preserve"> </w:t>
      </w:r>
      <w:r w:rsidR="00B714AE" w:rsidRPr="00784DAF">
        <w:t>1991</w:t>
      </w:r>
      <w:r w:rsidR="00106F19" w:rsidRPr="00784DAF">
        <w:t>)</w:t>
      </w:r>
      <w:r w:rsidR="000E581E" w:rsidRPr="00784DAF">
        <w:t>.</w:t>
      </w:r>
      <w:r w:rsidR="006E55C6" w:rsidRPr="00784DAF">
        <w:t xml:space="preserve"> </w:t>
      </w:r>
      <w:r w:rsidR="00106F19" w:rsidRPr="00784DAF">
        <w:t>P-tau</w:t>
      </w:r>
      <w:r w:rsidR="006251D6" w:rsidRPr="00784DAF">
        <w:t xml:space="preserve"> (AT8) accumulation</w:t>
      </w:r>
      <w:r w:rsidR="009913EC" w:rsidRPr="00784DAF">
        <w:t xml:space="preserve"> in the whole hemisphere</w:t>
      </w:r>
      <w:r w:rsidR="006251D6" w:rsidRPr="00784DAF">
        <w:t xml:space="preserve">, measured as percentage of area </w:t>
      </w:r>
      <w:r w:rsidR="001E4DEE" w:rsidRPr="00784DAF">
        <w:t>stained</w:t>
      </w:r>
      <w:r w:rsidR="006251D6" w:rsidRPr="00784DAF">
        <w:t xml:space="preserve">, </w:t>
      </w:r>
      <w:r w:rsidR="005A2DFB" w:rsidRPr="00784DAF">
        <w:t>was significantly</w:t>
      </w:r>
      <w:r w:rsidR="001F5E8C" w:rsidRPr="00784DAF">
        <w:t xml:space="preserve"> </w:t>
      </w:r>
      <w:r w:rsidR="005A2DFB" w:rsidRPr="00784DAF">
        <w:t xml:space="preserve">elevated in </w:t>
      </w:r>
      <w:r w:rsidR="00E20FCC" w:rsidRPr="00784DAF">
        <w:t>PAMP-treated mice</w:t>
      </w:r>
      <w:r w:rsidR="00B22165" w:rsidRPr="00784DAF">
        <w:t xml:space="preserve"> (</w:t>
      </w:r>
      <w:proofErr w:type="spellStart"/>
      <w:r w:rsidR="00B22165" w:rsidRPr="00784DAF">
        <w:t>M</w:t>
      </w:r>
      <w:r w:rsidR="00C372FB" w:rsidRPr="00784DAF">
        <w:t>d</w:t>
      </w:r>
      <w:r w:rsidR="00B22165" w:rsidRPr="00784DAF">
        <w:t>n</w:t>
      </w:r>
      <w:proofErr w:type="spellEnd"/>
      <w:r w:rsidR="00280691" w:rsidRPr="00784DAF">
        <w:t xml:space="preserve"> </w:t>
      </w:r>
      <w:r w:rsidR="00B22165" w:rsidRPr="00784DAF">
        <w:t>=</w:t>
      </w:r>
      <w:r w:rsidR="000463D5" w:rsidRPr="00784DAF">
        <w:t xml:space="preserve"> </w:t>
      </w:r>
      <w:r w:rsidR="0080346E" w:rsidRPr="00784DAF">
        <w:t>0.286</w:t>
      </w:r>
      <w:r w:rsidR="00B22165" w:rsidRPr="00784DAF">
        <w:t>)</w:t>
      </w:r>
      <w:r w:rsidR="005A6A9A" w:rsidRPr="00784DAF">
        <w:t xml:space="preserve"> compared to</w:t>
      </w:r>
      <w:r w:rsidR="00E20FCC" w:rsidRPr="00784DAF">
        <w:t xml:space="preserve"> </w:t>
      </w:r>
      <w:r w:rsidR="00F60CD0">
        <w:t>vehicle</w:t>
      </w:r>
      <w:r w:rsidR="001810B5" w:rsidRPr="00784DAF">
        <w:t xml:space="preserve"> </w:t>
      </w:r>
      <w:r w:rsidR="00B22165" w:rsidRPr="00784DAF">
        <w:t>(</w:t>
      </w:r>
      <w:proofErr w:type="spellStart"/>
      <w:r w:rsidR="00B22165" w:rsidRPr="00784DAF">
        <w:t>M</w:t>
      </w:r>
      <w:r w:rsidR="00C372FB" w:rsidRPr="00784DAF">
        <w:t>d</w:t>
      </w:r>
      <w:r w:rsidR="00B22165" w:rsidRPr="00784DAF">
        <w:t>n</w:t>
      </w:r>
      <w:proofErr w:type="spellEnd"/>
      <w:r w:rsidR="00280691" w:rsidRPr="00784DAF">
        <w:t xml:space="preserve"> </w:t>
      </w:r>
      <w:r w:rsidR="00B22165" w:rsidRPr="00784DAF">
        <w:t>=</w:t>
      </w:r>
      <w:r w:rsidR="000463D5" w:rsidRPr="00784DAF">
        <w:t xml:space="preserve"> </w:t>
      </w:r>
      <w:r w:rsidR="0080346E" w:rsidRPr="00784DAF">
        <w:t>0.094</w:t>
      </w:r>
      <w:r w:rsidR="00607A75">
        <w:t xml:space="preserve">; </w:t>
      </w:r>
      <w:r w:rsidR="00B22165" w:rsidRPr="00784DAF">
        <w:t xml:space="preserve">MWU </w:t>
      </w:r>
      <w:r w:rsidR="001D6797" w:rsidRPr="00784DAF">
        <w:t>p</w:t>
      </w:r>
      <w:r w:rsidR="00280691" w:rsidRPr="00784DAF">
        <w:t xml:space="preserve"> </w:t>
      </w:r>
      <w:r w:rsidR="00B22165" w:rsidRPr="00784DAF">
        <w:t>=</w:t>
      </w:r>
      <w:r w:rsidR="0068612C" w:rsidRPr="00784DAF">
        <w:t xml:space="preserve"> </w:t>
      </w:r>
      <w:r w:rsidR="005E0932" w:rsidRPr="00784DAF">
        <w:t>0</w:t>
      </w:r>
      <w:r w:rsidR="00F46C3D" w:rsidRPr="00784DAF">
        <w:t>.002</w:t>
      </w:r>
      <w:r w:rsidR="0068612C" w:rsidRPr="00784DAF">
        <w:t xml:space="preserve">; </w:t>
      </w:r>
      <w:r w:rsidR="000241B7" w:rsidRPr="00784DAF">
        <w:t>Cliff</w:t>
      </w:r>
      <w:r w:rsidR="00305418" w:rsidRPr="00784DAF">
        <w:t>’</w:t>
      </w:r>
      <w:r w:rsidR="000241B7" w:rsidRPr="00784DAF">
        <w:t>s Δ</w:t>
      </w:r>
      <w:r w:rsidR="00280691" w:rsidRPr="00784DAF">
        <w:t xml:space="preserve"> </w:t>
      </w:r>
      <w:r w:rsidR="000241B7" w:rsidRPr="00784DAF">
        <w:t xml:space="preserve">= </w:t>
      </w:r>
      <w:r w:rsidR="005E0932" w:rsidRPr="00784DAF">
        <w:t>0</w:t>
      </w:r>
      <w:r w:rsidR="00F46C3D" w:rsidRPr="00784DAF">
        <w:t>.602</w:t>
      </w:r>
      <w:r w:rsidR="000241B7" w:rsidRPr="00784DAF">
        <w:t>,</w:t>
      </w:r>
      <w:r w:rsidR="00CC36D6" w:rsidRPr="00784DAF">
        <w:t xml:space="preserve"> </w:t>
      </w:r>
      <w:r w:rsidR="000241B7" w:rsidRPr="00784DAF">
        <w:t>95% CI [</w:t>
      </w:r>
      <w:r w:rsidR="005E0932" w:rsidRPr="00784DAF">
        <w:t>0</w:t>
      </w:r>
      <w:r w:rsidR="00F46C3D" w:rsidRPr="00784DAF">
        <w:t xml:space="preserve">.301, </w:t>
      </w:r>
      <w:r w:rsidR="005E0932" w:rsidRPr="00784DAF">
        <w:t>0</w:t>
      </w:r>
      <w:r w:rsidR="00F46C3D" w:rsidRPr="00784DAF">
        <w:t>.847</w:t>
      </w:r>
      <w:r w:rsidR="00CC07B1" w:rsidRPr="00784DAF">
        <w:t>]</w:t>
      </w:r>
      <w:r w:rsidR="006C0AED" w:rsidRPr="00784DAF">
        <w:t xml:space="preserve">; </w:t>
      </w:r>
      <w:r w:rsidR="00E635DA" w:rsidRPr="00784DAF">
        <w:t>Fig 4C).</w:t>
      </w:r>
    </w:p>
    <w:p w14:paraId="6EC0F409" w14:textId="72C9519A" w:rsidR="00E635DA" w:rsidRPr="00D957F3" w:rsidRDefault="0049231E" w:rsidP="00613FA8">
      <w:pPr>
        <w:spacing w:after="0" w:line="240" w:lineRule="auto"/>
        <w:ind w:firstLine="720"/>
      </w:pPr>
      <w:r>
        <w:rPr>
          <w:noProof/>
        </w:rPr>
        <mc:AlternateContent>
          <mc:Choice Requires="wps">
            <w:drawing>
              <wp:anchor distT="45720" distB="45720" distL="114300" distR="114300" simplePos="0" relativeHeight="251675648" behindDoc="0" locked="0" layoutInCell="1" allowOverlap="1" wp14:anchorId="61BCECEE" wp14:editId="34819090">
                <wp:simplePos x="0" y="0"/>
                <wp:positionH relativeFrom="margin">
                  <wp:align>right</wp:align>
                </wp:positionH>
                <wp:positionV relativeFrom="paragraph">
                  <wp:posOffset>1328412</wp:posOffset>
                </wp:positionV>
                <wp:extent cx="5923280" cy="2692400"/>
                <wp:effectExtent l="0" t="0" r="20320" b="12700"/>
                <wp:wrapSquare wrapText="bothSides"/>
                <wp:docPr id="325510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2692400"/>
                        </a:xfrm>
                        <a:prstGeom prst="rect">
                          <a:avLst/>
                        </a:prstGeom>
                        <a:solidFill>
                          <a:srgbClr val="FFFFFF"/>
                        </a:solidFill>
                        <a:ln w="9525">
                          <a:solidFill>
                            <a:srgbClr val="000000"/>
                          </a:solidFill>
                          <a:miter lim="800000"/>
                          <a:headEnd/>
                          <a:tailEnd/>
                        </a:ln>
                      </wps:spPr>
                      <wps:txbx>
                        <w:txbxContent>
                          <w:p w14:paraId="67DBCAA2" w14:textId="77777777" w:rsidR="0049231E" w:rsidRDefault="0049231E" w:rsidP="0049231E">
                            <w:r>
                              <w:rPr>
                                <w:noProof/>
                              </w:rPr>
                              <w:drawing>
                                <wp:inline distT="0" distB="0" distL="0" distR="0" wp14:anchorId="75F992F2" wp14:editId="028755EA">
                                  <wp:extent cx="5720357" cy="1366576"/>
                                  <wp:effectExtent l="0" t="0" r="0" b="5080"/>
                                  <wp:docPr id="11235491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49181" name="Picture 1123549181"/>
                                          <pic:cNvPicPr/>
                                        </pic:nvPicPr>
                                        <pic:blipFill>
                                          <a:blip r:embed="rId11">
                                            <a:extLst>
                                              <a:ext uri="{28A0092B-C50C-407E-A947-70E740481C1C}">
                                                <a14:useLocalDpi xmlns:a14="http://schemas.microsoft.com/office/drawing/2010/main" val="0"/>
                                              </a:ext>
                                            </a:extLst>
                                          </a:blip>
                                          <a:stretch>
                                            <a:fillRect/>
                                          </a:stretch>
                                        </pic:blipFill>
                                        <pic:spPr>
                                          <a:xfrm>
                                            <a:off x="0" y="0"/>
                                            <a:ext cx="5792591" cy="1383833"/>
                                          </a:xfrm>
                                          <a:prstGeom prst="rect">
                                            <a:avLst/>
                                          </a:prstGeom>
                                        </pic:spPr>
                                      </pic:pic>
                                    </a:graphicData>
                                  </a:graphic>
                                </wp:inline>
                              </w:drawing>
                            </w:r>
                            <w:r w:rsidRPr="00613FA8">
                              <w:t xml:space="preserve"> Fig 6. Systemic PAMP administration does not alter whole hemisphere HT7 total tau levels in PS19 mice. Representative whole hemisphere sections showing HT7 in (A) PS19 PAMPs and (B) PS19 Vehicle mice. Scale bar = 750 µm. (C) Quantification of HT7 percent area showing no significant difference in PS19 PAMPs compared to PS19 Vehicle (p = 0.357). Data are presented as median with IQR. PS19 PAMPs n = 22 and PS19 Vehicle n = 17. Group differences were assessed using MWU.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CECEE" id="_x0000_s1029" type="#_x0000_t202" style="position:absolute;left:0;text-align:left;margin-left:415.2pt;margin-top:104.6pt;width:466.4pt;height:212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">
                <v:textbox>
                  <w:txbxContent>
                    <w:p w14:paraId="67DBCAA2" w14:textId="77777777" w:rsidR="0049231E" w:rsidRDefault="0049231E" w:rsidP="0049231E">
                      <w:r>
                        <w:rPr>
                          <w:noProof/>
                        </w:rPr>
                        <w:drawing>
                          <wp:inline distT="0" distB="0" distL="0" distR="0" wp14:anchorId="75F992F2" wp14:editId="028755EA">
                            <wp:extent cx="5720357" cy="1366576"/>
                            <wp:effectExtent l="0" t="0" r="0" b="5080"/>
                            <wp:docPr id="11235491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49181" name="Picture 1123549181"/>
                                    <pic:cNvPicPr/>
                                  </pic:nvPicPr>
                                  <pic:blipFill>
                                    <a:blip r:embed="rId11">
                                      <a:extLst>
                                        <a:ext uri="{28A0092B-C50C-407E-A947-70E740481C1C}">
                                          <a14:useLocalDpi xmlns:a14="http://schemas.microsoft.com/office/drawing/2010/main" val="0"/>
                                        </a:ext>
                                      </a:extLst>
                                    </a:blip>
                                    <a:stretch>
                                      <a:fillRect/>
                                    </a:stretch>
                                  </pic:blipFill>
                                  <pic:spPr>
                                    <a:xfrm>
                                      <a:off x="0" y="0"/>
                                      <a:ext cx="5792591" cy="1383833"/>
                                    </a:xfrm>
                                    <a:prstGeom prst="rect">
                                      <a:avLst/>
                                    </a:prstGeom>
                                  </pic:spPr>
                                </pic:pic>
                              </a:graphicData>
                            </a:graphic>
                          </wp:inline>
                        </w:drawing>
                      </w:r>
                      <w:r w:rsidRPr="00613FA8">
                        <w:t xml:space="preserve"> Fig 6. Systemic PAMP administration does not alter whole hemisphere HT7 total tau levels in PS19 mice. Representative whole hemisphere sections showing HT7 in (A) PS19 PAMPs and (B) PS19 Vehicle mice. Scale bar = 750 µm. (C) Quantification of HT7 percent area showing no significant difference in PS19 PAMPs compared to PS19 Vehicle (p = 0.357). Data are presented as median with IQR. PS19 PAMPs n = 22 and PS19 Vehicle n = 17. Group differences were assessed using MWU.</w:t>
                      </w:r>
                    </w:p>
                  </w:txbxContent>
                </v:textbox>
                <w10:wrap type="square" anchorx="margin"/>
              </v:shape>
            </w:pict>
          </mc:Fallback>
        </mc:AlternateContent>
      </w:r>
      <w:r w:rsidR="00E635DA" w:rsidRPr="00D957F3">
        <w:t>We further examined p-tau staining restricted to the</w:t>
      </w:r>
      <w:r w:rsidR="008D6272" w:rsidRPr="00D957F3">
        <w:t xml:space="preserve"> hippocampus,</w:t>
      </w:r>
      <w:r w:rsidR="00E635DA" w:rsidRPr="00D957F3">
        <w:t xml:space="preserve"> a region known to exhibit early tau associated pathology in AD. AT8</w:t>
      </w:r>
      <w:r w:rsidR="00F55D9C">
        <w:t xml:space="preserve"> staining</w:t>
      </w:r>
      <w:r w:rsidR="00E635DA" w:rsidRPr="00D957F3">
        <w:t xml:space="preserve"> was observed throughout the</w:t>
      </w:r>
      <w:r w:rsidR="005A16B3">
        <w:t xml:space="preserve"> </w:t>
      </w:r>
      <w:r w:rsidR="00E635DA" w:rsidRPr="00D957F3">
        <w:t>hippocampus, with the highest density in the CA1, subiculum, and dentate gyrus hilus (Fig 5A</w:t>
      </w:r>
      <w:r w:rsidR="00FF3061">
        <w:t>, B</w:t>
      </w:r>
      <w:r w:rsidR="00E635DA" w:rsidRPr="00D957F3">
        <w:t xml:space="preserve">). Staining was also dense in the entorhinal </w:t>
      </w:r>
      <w:r w:rsidR="00C3148D">
        <w:t xml:space="preserve">cortex </w:t>
      </w:r>
      <w:r w:rsidR="00E635DA" w:rsidRPr="00D957F3">
        <w:t xml:space="preserve">(left border of images). </w:t>
      </w:r>
      <w:r w:rsidR="00426028">
        <w:t xml:space="preserve">In the enlarged insets, </w:t>
      </w:r>
      <w:r w:rsidR="00E635DA" w:rsidRPr="00D957F3">
        <w:t>staining</w:t>
      </w:r>
      <w:r w:rsidR="00F55D9C">
        <w:t xml:space="preserve"> filled neuronal </w:t>
      </w:r>
      <w:proofErr w:type="spellStart"/>
      <w:r w:rsidR="00F55D9C">
        <w:t>somata</w:t>
      </w:r>
      <w:proofErr w:type="spellEnd"/>
      <w:r w:rsidR="00F55D9C">
        <w:t xml:space="preserve"> and dendrites</w:t>
      </w:r>
      <w:r w:rsidR="00E635DA" w:rsidRPr="00D957F3">
        <w:t xml:space="preserve"> (Fig 5C</w:t>
      </w:r>
      <w:r w:rsidR="00FF3061">
        <w:t>, D</w:t>
      </w:r>
      <w:r w:rsidR="00E635DA" w:rsidRPr="00D957F3">
        <w:t>).</w:t>
      </w:r>
      <w:r w:rsidR="008D6272" w:rsidRPr="00D957F3">
        <w:t xml:space="preserve"> </w:t>
      </w:r>
      <w:r w:rsidR="00E20FCC" w:rsidRPr="00D957F3">
        <w:t>PAMP treatment significantly elevated</w:t>
      </w:r>
      <w:r w:rsidR="008D6272" w:rsidRPr="00D957F3">
        <w:t xml:space="preserve"> </w:t>
      </w:r>
      <w:r w:rsidR="00E635DA" w:rsidRPr="00D957F3">
        <w:t>AT8</w:t>
      </w:r>
      <w:r w:rsidR="00E20FCC" w:rsidRPr="00D957F3">
        <w:t xml:space="preserve"> </w:t>
      </w:r>
      <w:r w:rsidR="008D6272" w:rsidRPr="00D957F3">
        <w:t>(</w:t>
      </w:r>
      <w:proofErr w:type="spellStart"/>
      <w:r w:rsidR="008D6272" w:rsidRPr="00D957F3">
        <w:t>Mdn</w:t>
      </w:r>
      <w:proofErr w:type="spellEnd"/>
      <w:r w:rsidR="008D6272" w:rsidRPr="00D957F3">
        <w:t xml:space="preserve"> = 0.748) compared to </w:t>
      </w:r>
      <w:r w:rsidR="00F60CD0">
        <w:t>v</w:t>
      </w:r>
      <w:r w:rsidR="00E20FCC" w:rsidRPr="00D957F3">
        <w:t xml:space="preserve">ehicle </w:t>
      </w:r>
      <w:r w:rsidR="008D6272" w:rsidRPr="00D957F3">
        <w:t>(</w:t>
      </w:r>
      <w:proofErr w:type="spellStart"/>
      <w:r w:rsidR="008D6272" w:rsidRPr="00D957F3">
        <w:t>Mdn</w:t>
      </w:r>
      <w:proofErr w:type="spellEnd"/>
      <w:r w:rsidR="008D6272" w:rsidRPr="00D957F3">
        <w:t xml:space="preserve"> = 0.270</w:t>
      </w:r>
      <w:r w:rsidR="00F90B0E">
        <w:t xml:space="preserve">; </w:t>
      </w:r>
      <w:r w:rsidR="008D6272" w:rsidRPr="00D957F3">
        <w:t>MWU p = 0.015; Cliff’s Δ = 0.465, 95% CI [0.133, 0.745]</w:t>
      </w:r>
      <w:r w:rsidR="00096AB2" w:rsidRPr="00D957F3">
        <w:t>; Fig 5E).</w:t>
      </w:r>
    </w:p>
    <w:p w14:paraId="2137F3C2" w14:textId="62F084F0" w:rsidR="004E06AF" w:rsidRPr="00D957F3" w:rsidRDefault="0049231E" w:rsidP="0003368D">
      <w:pPr>
        <w:spacing w:after="0" w:line="240" w:lineRule="auto"/>
        <w:ind w:firstLine="720"/>
      </w:pPr>
      <w:r>
        <w:rPr>
          <w:noProof/>
        </w:rPr>
        <w:lastRenderedPageBreak/>
        <w:drawing>
          <wp:anchor distT="0" distB="0" distL="114300" distR="114300" simplePos="0" relativeHeight="251676672" behindDoc="1" locked="0" layoutInCell="1" allowOverlap="1" wp14:anchorId="161D35B4" wp14:editId="3A220B9E">
            <wp:simplePos x="0" y="0"/>
            <wp:positionH relativeFrom="margin">
              <wp:align>right</wp:align>
            </wp:positionH>
            <wp:positionV relativeFrom="paragraph">
              <wp:posOffset>3765740</wp:posOffset>
            </wp:positionV>
            <wp:extent cx="5944235" cy="3048635"/>
            <wp:effectExtent l="0" t="0" r="0" b="0"/>
            <wp:wrapTight wrapText="bothSides">
              <wp:wrapPolygon edited="0">
                <wp:start x="0" y="0"/>
                <wp:lineTo x="0" y="21461"/>
                <wp:lineTo x="21528" y="21461"/>
                <wp:lineTo x="21528" y="0"/>
                <wp:lineTo x="0" y="0"/>
              </wp:wrapPolygon>
            </wp:wrapTight>
            <wp:docPr id="18170344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3048635"/>
                    </a:xfrm>
                    <a:prstGeom prst="rect">
                      <a:avLst/>
                    </a:prstGeom>
                    <a:noFill/>
                  </pic:spPr>
                </pic:pic>
              </a:graphicData>
            </a:graphic>
            <wp14:sizeRelH relativeFrom="page">
              <wp14:pctWidth>0</wp14:pctWidth>
            </wp14:sizeRelH>
            <wp14:sizeRelV relativeFrom="page">
              <wp14:pctHeight>0</wp14:pctHeight>
            </wp14:sizeRelV>
          </wp:anchor>
        </w:drawing>
      </w:r>
      <w:r w:rsidR="006251D6" w:rsidRPr="00D957F3">
        <w:t xml:space="preserve">In </w:t>
      </w:r>
      <w:r w:rsidR="00E635DA" w:rsidRPr="00D957F3">
        <w:t>addition to pathological forms of tau, we also examined the effects of PAMPs on levels of total tau. The HT7 antibody is specific for human tau of all types regardless of</w:t>
      </w:r>
      <w:r w:rsidR="000D47B2" w:rsidRPr="00D957F3">
        <w:t xml:space="preserve"> </w:t>
      </w:r>
      <w:r w:rsidR="00E635DA" w:rsidRPr="00D957F3">
        <w:t xml:space="preserve">phosphorylation status. When examined in the whole hemisphere sections, the pattern of staining </w:t>
      </w:r>
      <w:r w:rsidR="00F55D9C">
        <w:t>was</w:t>
      </w:r>
      <w:r w:rsidR="00E635DA" w:rsidRPr="00D957F3">
        <w:t xml:space="preserve"> generally more uniform than </w:t>
      </w:r>
      <w:r w:rsidR="00F55D9C">
        <w:t xml:space="preserve">in </w:t>
      </w:r>
      <w:r w:rsidR="00E635DA" w:rsidRPr="00D957F3">
        <w:t>the AT8 labeled sections (Fig 6</w:t>
      </w:r>
      <w:r w:rsidR="00990BE6" w:rsidRPr="00D957F3">
        <w:t>A</w:t>
      </w:r>
      <w:r w:rsidR="00FF3061">
        <w:t>, B</w:t>
      </w:r>
      <w:r w:rsidR="00E635DA" w:rsidRPr="00D957F3">
        <w:t>).</w:t>
      </w:r>
      <w:r w:rsidR="006B53E3" w:rsidRPr="00D957F3">
        <w:t xml:space="preserve"> </w:t>
      </w:r>
      <w:r w:rsidR="00990BE6" w:rsidRPr="00D957F3">
        <w:t xml:space="preserve">Unlike AT8, staining in the cortices </w:t>
      </w:r>
      <w:r w:rsidR="00F55D9C">
        <w:t>was</w:t>
      </w:r>
      <w:r w:rsidR="00990BE6" w:rsidRPr="00D957F3">
        <w:t xml:space="preserve"> comparable to that found in the brainstem and striatal regions. In </w:t>
      </w:r>
      <w:r w:rsidR="006251D6" w:rsidRPr="00D957F3">
        <w:t>contrast</w:t>
      </w:r>
      <w:r w:rsidR="0036757B" w:rsidRPr="00D957F3">
        <w:t xml:space="preserve"> </w:t>
      </w:r>
      <w:r w:rsidR="00632434" w:rsidRPr="00D957F3">
        <w:t xml:space="preserve">to </w:t>
      </w:r>
      <w:r w:rsidR="00537DD6" w:rsidRPr="00D957F3">
        <w:t>AT8</w:t>
      </w:r>
      <w:r w:rsidR="006251D6" w:rsidRPr="00D957F3">
        <w:t>,</w:t>
      </w:r>
      <w:r w:rsidR="000D47B2" w:rsidRPr="00D957F3">
        <w:t xml:space="preserve"> PAMP</w:t>
      </w:r>
      <w:r w:rsidR="00F3627E" w:rsidRPr="00D957F3">
        <w:t xml:space="preserve"> </w:t>
      </w:r>
      <w:r w:rsidR="000D47B2" w:rsidRPr="00D957F3">
        <w:t>treatment</w:t>
      </w:r>
      <w:r w:rsidR="00990BE6" w:rsidRPr="00D957F3">
        <w:t xml:space="preserve"> did not</w:t>
      </w:r>
      <w:r w:rsidR="000D47B2" w:rsidRPr="00D957F3">
        <w:t xml:space="preserve"> significantly</w:t>
      </w:r>
      <w:r w:rsidR="00990BE6" w:rsidRPr="00D957F3">
        <w:t xml:space="preserve"> alter HT7 </w:t>
      </w:r>
      <w:r w:rsidR="00C93BAF">
        <w:t xml:space="preserve">immunoreactivity </w:t>
      </w:r>
      <w:r w:rsidR="003A6F88" w:rsidRPr="00D957F3">
        <w:t>i</w:t>
      </w:r>
      <w:r w:rsidR="006251D6" w:rsidRPr="00D957F3">
        <w:t>n the whole</w:t>
      </w:r>
      <w:r w:rsidR="00625433" w:rsidRPr="00D957F3">
        <w:t xml:space="preserve"> </w:t>
      </w:r>
      <w:r w:rsidR="006251D6" w:rsidRPr="00D957F3">
        <w:t>hemisphere</w:t>
      </w:r>
      <w:r w:rsidR="001F5E8C" w:rsidRPr="00D957F3">
        <w:t xml:space="preserve"> (MWU </w:t>
      </w:r>
      <w:r w:rsidR="001D6797" w:rsidRPr="00D957F3">
        <w:t>p</w:t>
      </w:r>
      <w:r w:rsidR="001F5E8C" w:rsidRPr="00D957F3">
        <w:t xml:space="preserve"> = </w:t>
      </w:r>
      <w:r w:rsidR="005E0932" w:rsidRPr="00D957F3">
        <w:t>0</w:t>
      </w:r>
      <w:r w:rsidR="001F5E8C" w:rsidRPr="00D957F3">
        <w:t xml:space="preserve">.357; </w:t>
      </w:r>
      <w:r w:rsidR="006251D6" w:rsidRPr="00D957F3">
        <w:t xml:space="preserve">Cliff’s Δ = </w:t>
      </w:r>
      <w:r w:rsidR="005E0932" w:rsidRPr="00D957F3">
        <w:t>0</w:t>
      </w:r>
      <w:r w:rsidR="006251D6" w:rsidRPr="00D957F3">
        <w:t>.174, 95% CI [-0.198, 0.519]</w:t>
      </w:r>
      <w:r w:rsidR="006440C3" w:rsidRPr="00D957F3">
        <w:t>; Fig 6C</w:t>
      </w:r>
      <w:r w:rsidR="009D69AC" w:rsidRPr="00D957F3">
        <w:t>)</w:t>
      </w:r>
      <w:r w:rsidR="006251D6" w:rsidRPr="00D957F3">
        <w:t>.</w:t>
      </w:r>
    </w:p>
    <w:p w14:paraId="130753F2" w14:textId="531B8CAC" w:rsidR="00AE6411" w:rsidRPr="008D76F3" w:rsidRDefault="000D47B2" w:rsidP="0003368D">
      <w:pPr>
        <w:spacing w:after="0" w:line="240" w:lineRule="auto"/>
        <w:ind w:firstLine="720"/>
      </w:pPr>
      <w:r w:rsidRPr="00D957F3">
        <w:t>Within the</w:t>
      </w:r>
      <w:r w:rsidR="004E06AF" w:rsidRPr="00D957F3">
        <w:t xml:space="preserve"> hippocampus, </w:t>
      </w:r>
      <w:r w:rsidRPr="00D957F3">
        <w:t xml:space="preserve">HT7 staining </w:t>
      </w:r>
      <w:r w:rsidR="00F55D9C">
        <w:t>was</w:t>
      </w:r>
      <w:r w:rsidRPr="00D957F3">
        <w:t xml:space="preserve"> most dense in the neuronal layers of the </w:t>
      </w:r>
      <w:r w:rsidRPr="008D76F3">
        <w:t>de</w:t>
      </w:r>
      <w:r w:rsidR="0039581C" w:rsidRPr="008D76F3">
        <w:t>n</w:t>
      </w:r>
      <w:r w:rsidRPr="008D76F3">
        <w:t>tate gyrus, CA1, and CA3 regions (Fig 7A</w:t>
      </w:r>
      <w:r w:rsidR="00FF3061" w:rsidRPr="008D76F3">
        <w:t>, B</w:t>
      </w:r>
      <w:r w:rsidRPr="008D76F3">
        <w:t xml:space="preserve">). </w:t>
      </w:r>
      <w:r w:rsidR="00C3148D">
        <w:t>HT7-labeled cells had morphology consistent with neurons</w:t>
      </w:r>
      <w:r w:rsidRPr="008D76F3">
        <w:t xml:space="preserve"> (Fig 7C</w:t>
      </w:r>
      <w:r w:rsidR="00FF3061" w:rsidRPr="008D76F3">
        <w:t>, D</w:t>
      </w:r>
      <w:r w:rsidRPr="008D76F3">
        <w:t>). However, unlike AT8, PAMP</w:t>
      </w:r>
      <w:r w:rsidR="008164D6" w:rsidRPr="008D76F3">
        <w:t xml:space="preserve"> </w:t>
      </w:r>
      <w:r w:rsidRPr="008D76F3">
        <w:t xml:space="preserve">treatment did not significantly </w:t>
      </w:r>
      <w:r w:rsidR="009D69AC" w:rsidRPr="008D76F3">
        <w:t>affect</w:t>
      </w:r>
      <w:r w:rsidRPr="008D76F3">
        <w:t xml:space="preserve"> HT7 immunoreactivity </w:t>
      </w:r>
      <w:r w:rsidR="004E06AF" w:rsidRPr="008D76F3">
        <w:t>(MWU p = 0.318</w:t>
      </w:r>
      <w:r w:rsidRPr="008D76F3">
        <w:t xml:space="preserve">; </w:t>
      </w:r>
      <w:r w:rsidR="004E06AF" w:rsidRPr="008D76F3">
        <w:t>Cliff’s Δ = 0.190, 95% CI [-0.182, 0.543]</w:t>
      </w:r>
      <w:r w:rsidR="006C0AED" w:rsidRPr="008D76F3">
        <w:t>; Fig 7E</w:t>
      </w:r>
      <w:r w:rsidR="009D69AC" w:rsidRPr="008D76F3">
        <w:t>)</w:t>
      </w:r>
      <w:r w:rsidR="004E06AF" w:rsidRPr="008D76F3">
        <w:t>.</w:t>
      </w:r>
    </w:p>
    <w:p w14:paraId="6DC68028" w14:textId="786413F6" w:rsidR="0003368D" w:rsidRPr="008D76F3" w:rsidRDefault="0003368D" w:rsidP="0003368D">
      <w:pPr>
        <w:spacing w:after="0" w:line="240" w:lineRule="auto"/>
      </w:pPr>
    </w:p>
    <w:p w14:paraId="4A373DE9" w14:textId="3535FF23" w:rsidR="00537DD6" w:rsidRPr="008D76F3" w:rsidRDefault="000D47B2" w:rsidP="0003368D">
      <w:pPr>
        <w:spacing w:after="0" w:line="240" w:lineRule="auto"/>
        <w:rPr>
          <w:b/>
          <w:bCs/>
        </w:rPr>
      </w:pPr>
      <w:r w:rsidRPr="008D76F3">
        <w:rPr>
          <w:b/>
          <w:bCs/>
        </w:rPr>
        <w:t>Histological measures of neuroinflammation</w:t>
      </w:r>
    </w:p>
    <w:p w14:paraId="7DEF1DF6" w14:textId="163EB4F4" w:rsidR="004D60D7" w:rsidRPr="004D60D7" w:rsidRDefault="000452E4" w:rsidP="004D60D7">
      <w:pPr>
        <w:spacing w:after="0" w:line="240" w:lineRule="auto"/>
        <w:ind w:firstLine="720"/>
      </w:pPr>
      <w:r w:rsidRPr="008D76F3">
        <w:t xml:space="preserve">To estimate the glial activation responses, we measured MHC II, a marker of microglia activated to present antigens, glial fibrillary acidic protein (GFAP), a marker of astrocyte </w:t>
      </w:r>
      <w:r w:rsidR="0089595A" w:rsidRPr="004D60D7">
        <w:t>reactivity</w:t>
      </w:r>
      <w:r w:rsidRPr="004D60D7">
        <w:t>, and CD68, a marker of microglial activation associated with increased phagocytosis.</w:t>
      </w:r>
    </w:p>
    <w:p w14:paraId="71937913" w14:textId="0C950688" w:rsidR="006B552B" w:rsidRPr="00186C30" w:rsidRDefault="0049231E" w:rsidP="00186C30">
      <w:pPr>
        <w:spacing w:after="0" w:line="240" w:lineRule="auto"/>
        <w:ind w:firstLine="720"/>
      </w:pPr>
      <w:r>
        <w:rPr>
          <w:noProof/>
        </w:rPr>
        <mc:AlternateContent>
          <mc:Choice Requires="wps">
            <w:drawing>
              <wp:anchor distT="45720" distB="45720" distL="114300" distR="114300" simplePos="0" relativeHeight="251678720" behindDoc="0" locked="0" layoutInCell="1" allowOverlap="1" wp14:anchorId="625398F0" wp14:editId="1478BFC2">
                <wp:simplePos x="0" y="0"/>
                <wp:positionH relativeFrom="margin">
                  <wp:align>left</wp:align>
                </wp:positionH>
                <wp:positionV relativeFrom="paragraph">
                  <wp:posOffset>888736</wp:posOffset>
                </wp:positionV>
                <wp:extent cx="5788660" cy="4874260"/>
                <wp:effectExtent l="0" t="0" r="21590" b="21590"/>
                <wp:wrapSquare wrapText="bothSides"/>
                <wp:docPr id="809805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660" cy="4874821"/>
                        </a:xfrm>
                        <a:prstGeom prst="rect">
                          <a:avLst/>
                        </a:prstGeom>
                        <a:solidFill>
                          <a:srgbClr val="FFFFFF"/>
                        </a:solidFill>
                        <a:ln w="9525">
                          <a:solidFill>
                            <a:srgbClr val="000000"/>
                          </a:solidFill>
                          <a:miter lim="800000"/>
                          <a:headEnd/>
                          <a:tailEnd/>
                        </a:ln>
                      </wps:spPr>
                      <wps:txbx>
                        <w:txbxContent>
                          <w:p w14:paraId="5FD807F8" w14:textId="55EAF636" w:rsidR="0049231E" w:rsidRDefault="0049231E" w:rsidP="0049231E">
                            <w:pPr>
                              <w:spacing w:line="240" w:lineRule="auto"/>
                            </w:pPr>
                            <w:r>
                              <w:rPr>
                                <w:noProof/>
                              </w:rPr>
                              <w:drawing>
                                <wp:inline distT="0" distB="0" distL="0" distR="0" wp14:anchorId="55A1ACC2" wp14:editId="14B0787F">
                                  <wp:extent cx="5583651" cy="2505694"/>
                                  <wp:effectExtent l="0" t="0" r="0" b="9525"/>
                                  <wp:docPr id="15972748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74897" name="Picture 1597274897"/>
                                          <pic:cNvPicPr/>
                                        </pic:nvPicPr>
                                        <pic:blipFill>
                                          <a:blip r:embed="rId13">
                                            <a:extLst>
                                              <a:ext uri="{28A0092B-C50C-407E-A947-70E740481C1C}">
                                                <a14:useLocalDpi xmlns:a14="http://schemas.microsoft.com/office/drawing/2010/main" val="0"/>
                                              </a:ext>
                                            </a:extLst>
                                          </a:blip>
                                          <a:stretch>
                                            <a:fillRect/>
                                          </a:stretch>
                                        </pic:blipFill>
                                        <pic:spPr>
                                          <a:xfrm>
                                            <a:off x="0" y="0"/>
                                            <a:ext cx="5611314" cy="2518108"/>
                                          </a:xfrm>
                                          <a:prstGeom prst="rect">
                                            <a:avLst/>
                                          </a:prstGeom>
                                        </pic:spPr>
                                      </pic:pic>
                                    </a:graphicData>
                                  </a:graphic>
                                </wp:inline>
                              </w:drawing>
                            </w:r>
                            <w:r w:rsidRPr="0049231E">
                              <w:t xml:space="preserve"> Fig 8. MHC II immunoreactivity in the hippocampus demonstrates a genotype × treatment interaction. Representative hippocampal sections showing MHC II in (A) PS19 PAMPs, (B) PS19 Vehicle, (C) Non-</w:t>
                            </w:r>
                            <w:proofErr w:type="spellStart"/>
                            <w:r w:rsidRPr="0049231E">
                              <w:t>Tg</w:t>
                            </w:r>
                            <w:proofErr w:type="spellEnd"/>
                            <w:r w:rsidRPr="0049231E">
                              <w:t xml:space="preserve"> PAMPs, and (D) Non-</w:t>
                            </w:r>
                            <w:proofErr w:type="spellStart"/>
                            <w:r w:rsidRPr="0049231E">
                              <w:t>Tg</w:t>
                            </w:r>
                            <w:proofErr w:type="spellEnd"/>
                            <w:r w:rsidRPr="0049231E">
                              <w:t xml:space="preserve"> Vehicle mice. Scale bar = 300 µm. (E–H) Enlarged hippocampal insets showing the morphology of MHC II-labeled microglia. Inset scale bar = 20 µm. (I) Quantification of MHC II percent area revealed a significant genotype × treatment interaction (p = 0.012). Post-hoc analysis demonstrated significantly elevated MHC II in PS19 PAMPs compared to both PS19 Vehicle (p &lt; 0.001) and </w:t>
                            </w:r>
                            <w:proofErr w:type="gramStart"/>
                            <w:r w:rsidRPr="0049231E">
                              <w:t>Non-</w:t>
                            </w:r>
                            <w:proofErr w:type="spellStart"/>
                            <w:r w:rsidRPr="0049231E">
                              <w:t>Tg</w:t>
                            </w:r>
                            <w:proofErr w:type="spellEnd"/>
                            <w:r w:rsidRPr="0049231E">
                              <w:t xml:space="preserve"> PAMPs</w:t>
                            </w:r>
                            <w:proofErr w:type="gramEnd"/>
                            <w:r w:rsidRPr="0049231E">
                              <w:t xml:space="preserve"> (p &lt; 0.001). PS19 Vehicle also showed significantly elevated MHC II compared to Non-</w:t>
                            </w:r>
                            <w:proofErr w:type="spellStart"/>
                            <w:r w:rsidRPr="0049231E">
                              <w:t>Tg</w:t>
                            </w:r>
                            <w:proofErr w:type="spellEnd"/>
                            <w:r w:rsidRPr="0049231E">
                              <w:t xml:space="preserve"> Vehicle (p = 0.041), and </w:t>
                            </w:r>
                            <w:proofErr w:type="gramStart"/>
                            <w:r w:rsidRPr="0049231E">
                              <w:t>Non-</w:t>
                            </w:r>
                            <w:proofErr w:type="spellStart"/>
                            <w:r w:rsidRPr="0049231E">
                              <w:t>Tg</w:t>
                            </w:r>
                            <w:proofErr w:type="spellEnd"/>
                            <w:r w:rsidRPr="0049231E">
                              <w:t xml:space="preserve"> PAMPs</w:t>
                            </w:r>
                            <w:proofErr w:type="gramEnd"/>
                            <w:r w:rsidRPr="0049231E">
                              <w:t xml:space="preserve"> showed significantly elevated MHC II compared to Non-</w:t>
                            </w:r>
                            <w:proofErr w:type="spellStart"/>
                            <w:r w:rsidRPr="0049231E">
                              <w:t>Tg</w:t>
                            </w:r>
                            <w:proofErr w:type="spellEnd"/>
                            <w:r w:rsidRPr="0049231E">
                              <w:t xml:space="preserve"> Vehicle (p = 0.016). Data are presented as median with IQR. PS19 PAMPs n = 22, PS19 Vehicle n = 19, </w:t>
                            </w:r>
                            <w:proofErr w:type="gramStart"/>
                            <w:r w:rsidRPr="0049231E">
                              <w:t>Non-</w:t>
                            </w:r>
                            <w:proofErr w:type="spellStart"/>
                            <w:r w:rsidRPr="0049231E">
                              <w:t>Tg</w:t>
                            </w:r>
                            <w:proofErr w:type="spellEnd"/>
                            <w:r w:rsidRPr="0049231E">
                              <w:t xml:space="preserve"> PAMPs</w:t>
                            </w:r>
                            <w:proofErr w:type="gramEnd"/>
                            <w:r w:rsidRPr="0049231E">
                              <w:t xml:space="preserve"> n = 22, and Non-</w:t>
                            </w:r>
                            <w:proofErr w:type="spellStart"/>
                            <w:r w:rsidRPr="0049231E">
                              <w:t>Tg</w:t>
                            </w:r>
                            <w:proofErr w:type="spellEnd"/>
                            <w:r w:rsidRPr="0049231E">
                              <w:t xml:space="preserve"> Vehicle n = 19. Main effects and interactions were assessed using ART-ANOVA. Significant genotype × treatment interactions were followed by ART-C with Holm correction.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398F0" id="_x0000_s1030" type="#_x0000_t202" style="position:absolute;left:0;text-align:left;margin-left:0;margin-top:70pt;width:455.8pt;height:383.8pt;z-index:251678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">
                <v:textbox>
                  <w:txbxContent>
                    <w:p w14:paraId="5FD807F8" w14:textId="55EAF636" w:rsidR="0049231E" w:rsidRDefault="0049231E" w:rsidP="0049231E">
                      <w:pPr>
                        <w:spacing w:line="240" w:lineRule="auto"/>
                      </w:pPr>
                      <w:r>
                        <w:rPr>
                          <w:noProof/>
                        </w:rPr>
                        <w:drawing>
                          <wp:inline distT="0" distB="0" distL="0" distR="0" wp14:anchorId="55A1ACC2" wp14:editId="14B0787F">
                            <wp:extent cx="5583651" cy="2505694"/>
                            <wp:effectExtent l="0" t="0" r="0" b="9525"/>
                            <wp:docPr id="15972748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74897" name="Picture 1597274897"/>
                                    <pic:cNvPicPr/>
                                  </pic:nvPicPr>
                                  <pic:blipFill>
                                    <a:blip r:embed="rId13">
                                      <a:extLst>
                                        <a:ext uri="{28A0092B-C50C-407E-A947-70E740481C1C}">
                                          <a14:useLocalDpi xmlns:a14="http://schemas.microsoft.com/office/drawing/2010/main" val="0"/>
                                        </a:ext>
                                      </a:extLst>
                                    </a:blip>
                                    <a:stretch>
                                      <a:fillRect/>
                                    </a:stretch>
                                  </pic:blipFill>
                                  <pic:spPr>
                                    <a:xfrm>
                                      <a:off x="0" y="0"/>
                                      <a:ext cx="5611314" cy="2518108"/>
                                    </a:xfrm>
                                    <a:prstGeom prst="rect">
                                      <a:avLst/>
                                    </a:prstGeom>
                                  </pic:spPr>
                                </pic:pic>
                              </a:graphicData>
                            </a:graphic>
                          </wp:inline>
                        </w:drawing>
                      </w:r>
                      <w:r w:rsidRPr="0049231E">
                        <w:t xml:space="preserve"> Fig 8. MHC II immunoreactivity in the hippocampus demonstrates a genotype × treatment interaction. Representative hippocampal sections showing MHC II in (A) PS19 PAMPs, (B) PS19 Vehicle, (C) Non-</w:t>
                      </w:r>
                      <w:proofErr w:type="spellStart"/>
                      <w:r w:rsidRPr="0049231E">
                        <w:t>Tg</w:t>
                      </w:r>
                      <w:proofErr w:type="spellEnd"/>
                      <w:r w:rsidRPr="0049231E">
                        <w:t xml:space="preserve"> PAMPs, and (D) Non-</w:t>
                      </w:r>
                      <w:proofErr w:type="spellStart"/>
                      <w:r w:rsidRPr="0049231E">
                        <w:t>Tg</w:t>
                      </w:r>
                      <w:proofErr w:type="spellEnd"/>
                      <w:r w:rsidRPr="0049231E">
                        <w:t xml:space="preserve"> Vehicle mice. Scale bar = 300 µm. (E–H) Enlarged hippocampal insets showing the morphology of MHC II-labeled microglia. Inset scale bar = 20 µm. (I) Quantification of MHC II percent area revealed a significant genotype × treatment interaction (p = 0.012). Post-hoc analysis demonstrated significantly elevated MHC II in PS19 PAMPs compared to both PS19 Vehicle (p &lt; 0.001) and </w:t>
                      </w:r>
                      <w:proofErr w:type="gramStart"/>
                      <w:r w:rsidRPr="0049231E">
                        <w:t>Non-</w:t>
                      </w:r>
                      <w:proofErr w:type="spellStart"/>
                      <w:r w:rsidRPr="0049231E">
                        <w:t>Tg</w:t>
                      </w:r>
                      <w:proofErr w:type="spellEnd"/>
                      <w:r w:rsidRPr="0049231E">
                        <w:t xml:space="preserve"> PAMPs</w:t>
                      </w:r>
                      <w:proofErr w:type="gramEnd"/>
                      <w:r w:rsidRPr="0049231E">
                        <w:t xml:space="preserve"> (p &lt; 0.001). PS19 Vehicle also showed significantly elevated MHC II compared to Non-</w:t>
                      </w:r>
                      <w:proofErr w:type="spellStart"/>
                      <w:r w:rsidRPr="0049231E">
                        <w:t>Tg</w:t>
                      </w:r>
                      <w:proofErr w:type="spellEnd"/>
                      <w:r w:rsidRPr="0049231E">
                        <w:t xml:space="preserve"> Vehicle (p = 0.041), and </w:t>
                      </w:r>
                      <w:proofErr w:type="gramStart"/>
                      <w:r w:rsidRPr="0049231E">
                        <w:t>Non-</w:t>
                      </w:r>
                      <w:proofErr w:type="spellStart"/>
                      <w:r w:rsidRPr="0049231E">
                        <w:t>Tg</w:t>
                      </w:r>
                      <w:proofErr w:type="spellEnd"/>
                      <w:r w:rsidRPr="0049231E">
                        <w:t xml:space="preserve"> PAMPs</w:t>
                      </w:r>
                      <w:proofErr w:type="gramEnd"/>
                      <w:r w:rsidRPr="0049231E">
                        <w:t xml:space="preserve"> showed significantly elevated MHC II compared to Non-</w:t>
                      </w:r>
                      <w:proofErr w:type="spellStart"/>
                      <w:r w:rsidRPr="0049231E">
                        <w:t>Tg</w:t>
                      </w:r>
                      <w:proofErr w:type="spellEnd"/>
                      <w:r w:rsidRPr="0049231E">
                        <w:t xml:space="preserve"> Vehicle (p = 0.016). Data are presented as median with IQR. PS19 PAMPs n = 22, PS19 Vehicle n = 19, </w:t>
                      </w:r>
                      <w:proofErr w:type="gramStart"/>
                      <w:r w:rsidRPr="0049231E">
                        <w:t>Non-</w:t>
                      </w:r>
                      <w:proofErr w:type="spellStart"/>
                      <w:r w:rsidRPr="0049231E">
                        <w:t>Tg</w:t>
                      </w:r>
                      <w:proofErr w:type="spellEnd"/>
                      <w:r w:rsidRPr="0049231E">
                        <w:t xml:space="preserve"> PAMPs</w:t>
                      </w:r>
                      <w:proofErr w:type="gramEnd"/>
                      <w:r w:rsidRPr="0049231E">
                        <w:t xml:space="preserve"> n = 22, and Non-</w:t>
                      </w:r>
                      <w:proofErr w:type="spellStart"/>
                      <w:r w:rsidRPr="0049231E">
                        <w:t>Tg</w:t>
                      </w:r>
                      <w:proofErr w:type="spellEnd"/>
                      <w:r w:rsidRPr="0049231E">
                        <w:t xml:space="preserve"> Vehicle n = 19. Main effects and interactions were assessed using ART-ANOVA. Significant genotype × treatment interactions were followed by ART-C with Holm correction.</w:t>
                      </w:r>
                    </w:p>
                  </w:txbxContent>
                </v:textbox>
                <w10:wrap type="square" anchorx="margin"/>
              </v:shape>
            </w:pict>
          </mc:Fallback>
        </mc:AlternateContent>
      </w:r>
      <w:r w:rsidR="004D60D7" w:rsidRPr="004D60D7">
        <w:t>MHC II immunostaining varied markedly among mice, both within and between groups, with sparse labeling throughout much of the brain interspersed with clustered staining in the</w:t>
      </w:r>
    </w:p>
    <w:sectPr w:rsidR="006B552B" w:rsidRPr="00186C30" w:rsidSect="0023478F">
      <w:footerReference w:type="default" r:id="rId1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B4888" w14:textId="77777777" w:rsidR="009962FA" w:rsidRDefault="009962FA" w:rsidP="00513188">
      <w:pPr>
        <w:spacing w:after="0" w:line="240" w:lineRule="auto"/>
      </w:pPr>
      <w:r>
        <w:separator/>
      </w:r>
    </w:p>
  </w:endnote>
  <w:endnote w:type="continuationSeparator" w:id="0">
    <w:p w14:paraId="11E8335B" w14:textId="77777777" w:rsidR="009962FA" w:rsidRDefault="009962FA" w:rsidP="00513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642797"/>
      <w:docPartObj>
        <w:docPartGallery w:val="Page Numbers (Bottom of Page)"/>
        <w:docPartUnique/>
      </w:docPartObj>
    </w:sdtPr>
    <w:sdtEndPr>
      <w:rPr>
        <w:noProof/>
      </w:rPr>
    </w:sdtEndPr>
    <w:sdtContent>
      <w:p w14:paraId="4D98395C" w14:textId="3ED78545" w:rsidR="00513188" w:rsidRDefault="005131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C18680" w14:textId="77777777" w:rsidR="00513188" w:rsidRDefault="00513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6B78F" w14:textId="77777777" w:rsidR="009962FA" w:rsidRDefault="009962FA" w:rsidP="00513188">
      <w:pPr>
        <w:spacing w:after="0" w:line="240" w:lineRule="auto"/>
      </w:pPr>
      <w:r>
        <w:separator/>
      </w:r>
    </w:p>
  </w:footnote>
  <w:footnote w:type="continuationSeparator" w:id="0">
    <w:p w14:paraId="3AEB31B4" w14:textId="77777777" w:rsidR="009962FA" w:rsidRDefault="009962FA" w:rsidP="00513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F77C9"/>
    <w:multiLevelType w:val="multilevel"/>
    <w:tmpl w:val="FC6EBFE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58D47DD4"/>
    <w:multiLevelType w:val="multilevel"/>
    <w:tmpl w:val="FC6EBFE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FD23802"/>
    <w:multiLevelType w:val="multilevel"/>
    <w:tmpl w:val="FC6EBFE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2AF11B2"/>
    <w:multiLevelType w:val="multilevel"/>
    <w:tmpl w:val="FC6EBFE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B9C56E6"/>
    <w:multiLevelType w:val="multilevel"/>
    <w:tmpl w:val="FC6EBFEE"/>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97497606">
    <w:abstractNumId w:val="0"/>
  </w:num>
  <w:num w:numId="2" w16cid:durableId="1841239493">
    <w:abstractNumId w:val="2"/>
  </w:num>
  <w:num w:numId="3" w16cid:durableId="207841910">
    <w:abstractNumId w:val="4"/>
  </w:num>
  <w:num w:numId="4" w16cid:durableId="371805240">
    <w:abstractNumId w:val="3"/>
  </w:num>
  <w:num w:numId="5" w16cid:durableId="1929804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B5F"/>
    <w:rsid w:val="00001056"/>
    <w:rsid w:val="000024AE"/>
    <w:rsid w:val="00004C62"/>
    <w:rsid w:val="00005959"/>
    <w:rsid w:val="00005C40"/>
    <w:rsid w:val="000079F9"/>
    <w:rsid w:val="00007C0C"/>
    <w:rsid w:val="0001261F"/>
    <w:rsid w:val="000142A3"/>
    <w:rsid w:val="000152E4"/>
    <w:rsid w:val="00015B0F"/>
    <w:rsid w:val="00016CC7"/>
    <w:rsid w:val="00017749"/>
    <w:rsid w:val="0002143E"/>
    <w:rsid w:val="000215F7"/>
    <w:rsid w:val="00022B9C"/>
    <w:rsid w:val="000231FA"/>
    <w:rsid w:val="00023C34"/>
    <w:rsid w:val="000241B7"/>
    <w:rsid w:val="000242C9"/>
    <w:rsid w:val="0002489C"/>
    <w:rsid w:val="000255B7"/>
    <w:rsid w:val="00027B29"/>
    <w:rsid w:val="00027D28"/>
    <w:rsid w:val="00030433"/>
    <w:rsid w:val="00030563"/>
    <w:rsid w:val="0003138E"/>
    <w:rsid w:val="00032A2B"/>
    <w:rsid w:val="0003368D"/>
    <w:rsid w:val="000341F7"/>
    <w:rsid w:val="00035973"/>
    <w:rsid w:val="00036DDC"/>
    <w:rsid w:val="00037933"/>
    <w:rsid w:val="00041F9F"/>
    <w:rsid w:val="0004369D"/>
    <w:rsid w:val="0004479A"/>
    <w:rsid w:val="000452E4"/>
    <w:rsid w:val="000457FE"/>
    <w:rsid w:val="00045FE2"/>
    <w:rsid w:val="000463D5"/>
    <w:rsid w:val="00046765"/>
    <w:rsid w:val="00050002"/>
    <w:rsid w:val="0005045B"/>
    <w:rsid w:val="000508BF"/>
    <w:rsid w:val="000533CE"/>
    <w:rsid w:val="00054B3B"/>
    <w:rsid w:val="00054E60"/>
    <w:rsid w:val="000554D4"/>
    <w:rsid w:val="000566FA"/>
    <w:rsid w:val="000606F1"/>
    <w:rsid w:val="000630F7"/>
    <w:rsid w:val="00063557"/>
    <w:rsid w:val="000649A0"/>
    <w:rsid w:val="00064C24"/>
    <w:rsid w:val="00065B3D"/>
    <w:rsid w:val="00065DD8"/>
    <w:rsid w:val="000671D5"/>
    <w:rsid w:val="00072A1C"/>
    <w:rsid w:val="00072BD3"/>
    <w:rsid w:val="000735D9"/>
    <w:rsid w:val="000737F9"/>
    <w:rsid w:val="000740E9"/>
    <w:rsid w:val="00074B90"/>
    <w:rsid w:val="0007527C"/>
    <w:rsid w:val="00075622"/>
    <w:rsid w:val="0007587D"/>
    <w:rsid w:val="00075E61"/>
    <w:rsid w:val="000760A3"/>
    <w:rsid w:val="00077879"/>
    <w:rsid w:val="000802D0"/>
    <w:rsid w:val="0008256B"/>
    <w:rsid w:val="00083A5D"/>
    <w:rsid w:val="00084F9F"/>
    <w:rsid w:val="00085B53"/>
    <w:rsid w:val="00087B3D"/>
    <w:rsid w:val="00090B71"/>
    <w:rsid w:val="00091686"/>
    <w:rsid w:val="00093E6E"/>
    <w:rsid w:val="00096AB2"/>
    <w:rsid w:val="000A1760"/>
    <w:rsid w:val="000A2DE3"/>
    <w:rsid w:val="000A432A"/>
    <w:rsid w:val="000A6B97"/>
    <w:rsid w:val="000B0AF2"/>
    <w:rsid w:val="000B0F46"/>
    <w:rsid w:val="000B149A"/>
    <w:rsid w:val="000B18FF"/>
    <w:rsid w:val="000B452A"/>
    <w:rsid w:val="000B6434"/>
    <w:rsid w:val="000C058E"/>
    <w:rsid w:val="000C1266"/>
    <w:rsid w:val="000C26C0"/>
    <w:rsid w:val="000C3A30"/>
    <w:rsid w:val="000C53A4"/>
    <w:rsid w:val="000D0D5B"/>
    <w:rsid w:val="000D2A59"/>
    <w:rsid w:val="000D47B2"/>
    <w:rsid w:val="000D55A6"/>
    <w:rsid w:val="000D5B19"/>
    <w:rsid w:val="000D5DAD"/>
    <w:rsid w:val="000D636B"/>
    <w:rsid w:val="000D6C22"/>
    <w:rsid w:val="000E04FF"/>
    <w:rsid w:val="000E2DC4"/>
    <w:rsid w:val="000E41FB"/>
    <w:rsid w:val="000E581E"/>
    <w:rsid w:val="000E6E13"/>
    <w:rsid w:val="000F1591"/>
    <w:rsid w:val="000F1CB0"/>
    <w:rsid w:val="000F2033"/>
    <w:rsid w:val="000F24D9"/>
    <w:rsid w:val="000F3775"/>
    <w:rsid w:val="000F3976"/>
    <w:rsid w:val="000F3BC1"/>
    <w:rsid w:val="000F6FDF"/>
    <w:rsid w:val="000F7B7E"/>
    <w:rsid w:val="00100A79"/>
    <w:rsid w:val="0010100D"/>
    <w:rsid w:val="001014E2"/>
    <w:rsid w:val="0010174B"/>
    <w:rsid w:val="001017A2"/>
    <w:rsid w:val="001019E3"/>
    <w:rsid w:val="00101D0F"/>
    <w:rsid w:val="00104E33"/>
    <w:rsid w:val="00105AFE"/>
    <w:rsid w:val="00106F19"/>
    <w:rsid w:val="0011135B"/>
    <w:rsid w:val="0011539E"/>
    <w:rsid w:val="00117763"/>
    <w:rsid w:val="001202DD"/>
    <w:rsid w:val="00122FB8"/>
    <w:rsid w:val="00126B49"/>
    <w:rsid w:val="0013003A"/>
    <w:rsid w:val="00134261"/>
    <w:rsid w:val="001350FA"/>
    <w:rsid w:val="00135C62"/>
    <w:rsid w:val="001365F2"/>
    <w:rsid w:val="00140E7B"/>
    <w:rsid w:val="00143365"/>
    <w:rsid w:val="001441EE"/>
    <w:rsid w:val="00145DC2"/>
    <w:rsid w:val="00151A28"/>
    <w:rsid w:val="00153F62"/>
    <w:rsid w:val="00155306"/>
    <w:rsid w:val="001562F9"/>
    <w:rsid w:val="001563FF"/>
    <w:rsid w:val="001566B8"/>
    <w:rsid w:val="00156FF5"/>
    <w:rsid w:val="00160C30"/>
    <w:rsid w:val="0016130F"/>
    <w:rsid w:val="00162A30"/>
    <w:rsid w:val="00162A75"/>
    <w:rsid w:val="00163DC9"/>
    <w:rsid w:val="00166979"/>
    <w:rsid w:val="00167DA2"/>
    <w:rsid w:val="00167F2B"/>
    <w:rsid w:val="00170F68"/>
    <w:rsid w:val="0017176E"/>
    <w:rsid w:val="00171BE5"/>
    <w:rsid w:val="00173BF6"/>
    <w:rsid w:val="00173C62"/>
    <w:rsid w:val="00173C9F"/>
    <w:rsid w:val="001755B6"/>
    <w:rsid w:val="0017578C"/>
    <w:rsid w:val="00181013"/>
    <w:rsid w:val="001810B5"/>
    <w:rsid w:val="00181CD0"/>
    <w:rsid w:val="001823CA"/>
    <w:rsid w:val="001838E8"/>
    <w:rsid w:val="001851A9"/>
    <w:rsid w:val="001858A8"/>
    <w:rsid w:val="00185C9F"/>
    <w:rsid w:val="00186C30"/>
    <w:rsid w:val="00186CD0"/>
    <w:rsid w:val="00186E38"/>
    <w:rsid w:val="0018708A"/>
    <w:rsid w:val="00187A0F"/>
    <w:rsid w:val="0019317A"/>
    <w:rsid w:val="0019355A"/>
    <w:rsid w:val="00194029"/>
    <w:rsid w:val="0019483A"/>
    <w:rsid w:val="00195341"/>
    <w:rsid w:val="0019687C"/>
    <w:rsid w:val="00196BDD"/>
    <w:rsid w:val="001A0D5A"/>
    <w:rsid w:val="001A1064"/>
    <w:rsid w:val="001A138E"/>
    <w:rsid w:val="001A355E"/>
    <w:rsid w:val="001A4A26"/>
    <w:rsid w:val="001A4F4D"/>
    <w:rsid w:val="001B0BD4"/>
    <w:rsid w:val="001B2022"/>
    <w:rsid w:val="001B2C1E"/>
    <w:rsid w:val="001B3EDC"/>
    <w:rsid w:val="001B483C"/>
    <w:rsid w:val="001B4FDE"/>
    <w:rsid w:val="001B6D34"/>
    <w:rsid w:val="001B74C0"/>
    <w:rsid w:val="001C4097"/>
    <w:rsid w:val="001C5EA7"/>
    <w:rsid w:val="001C686E"/>
    <w:rsid w:val="001C6D66"/>
    <w:rsid w:val="001C703B"/>
    <w:rsid w:val="001D04A9"/>
    <w:rsid w:val="001D0B20"/>
    <w:rsid w:val="001D0D54"/>
    <w:rsid w:val="001D586F"/>
    <w:rsid w:val="001D61AD"/>
    <w:rsid w:val="001D6297"/>
    <w:rsid w:val="001D6797"/>
    <w:rsid w:val="001D6986"/>
    <w:rsid w:val="001E10A9"/>
    <w:rsid w:val="001E13CB"/>
    <w:rsid w:val="001E22AC"/>
    <w:rsid w:val="001E3638"/>
    <w:rsid w:val="001E3BBB"/>
    <w:rsid w:val="001E3EB0"/>
    <w:rsid w:val="001E4272"/>
    <w:rsid w:val="001E4C47"/>
    <w:rsid w:val="001E4DEE"/>
    <w:rsid w:val="001E568D"/>
    <w:rsid w:val="001E5821"/>
    <w:rsid w:val="001E6037"/>
    <w:rsid w:val="001F44BC"/>
    <w:rsid w:val="001F4A5B"/>
    <w:rsid w:val="001F550E"/>
    <w:rsid w:val="001F5C34"/>
    <w:rsid w:val="001F5E8C"/>
    <w:rsid w:val="001F653B"/>
    <w:rsid w:val="001F69DB"/>
    <w:rsid w:val="001F730A"/>
    <w:rsid w:val="002002D2"/>
    <w:rsid w:val="00202A0B"/>
    <w:rsid w:val="00203706"/>
    <w:rsid w:val="00204F26"/>
    <w:rsid w:val="00205929"/>
    <w:rsid w:val="00205AA4"/>
    <w:rsid w:val="002077AF"/>
    <w:rsid w:val="00207B1E"/>
    <w:rsid w:val="0021030C"/>
    <w:rsid w:val="00210601"/>
    <w:rsid w:val="00212823"/>
    <w:rsid w:val="002138F8"/>
    <w:rsid w:val="00215DD6"/>
    <w:rsid w:val="00215E15"/>
    <w:rsid w:val="002173CF"/>
    <w:rsid w:val="0022138A"/>
    <w:rsid w:val="00221AF8"/>
    <w:rsid w:val="00222767"/>
    <w:rsid w:val="002246AA"/>
    <w:rsid w:val="00225B72"/>
    <w:rsid w:val="00225D9E"/>
    <w:rsid w:val="002265D9"/>
    <w:rsid w:val="00231714"/>
    <w:rsid w:val="00231DC1"/>
    <w:rsid w:val="00233070"/>
    <w:rsid w:val="0023478F"/>
    <w:rsid w:val="00235462"/>
    <w:rsid w:val="002357F0"/>
    <w:rsid w:val="00237B59"/>
    <w:rsid w:val="00237EE9"/>
    <w:rsid w:val="00240613"/>
    <w:rsid w:val="00242438"/>
    <w:rsid w:val="00242637"/>
    <w:rsid w:val="0024299E"/>
    <w:rsid w:val="00242D43"/>
    <w:rsid w:val="00243380"/>
    <w:rsid w:val="002448A7"/>
    <w:rsid w:val="00244EFE"/>
    <w:rsid w:val="00245C5A"/>
    <w:rsid w:val="00251B8C"/>
    <w:rsid w:val="0025333C"/>
    <w:rsid w:val="00253817"/>
    <w:rsid w:val="00256ACC"/>
    <w:rsid w:val="0025774C"/>
    <w:rsid w:val="00257C87"/>
    <w:rsid w:val="00257DCF"/>
    <w:rsid w:val="00260628"/>
    <w:rsid w:val="0026067D"/>
    <w:rsid w:val="002610D2"/>
    <w:rsid w:val="00261567"/>
    <w:rsid w:val="002638C4"/>
    <w:rsid w:val="002640A0"/>
    <w:rsid w:val="002656A3"/>
    <w:rsid w:val="00265831"/>
    <w:rsid w:val="00265EFB"/>
    <w:rsid w:val="002666FE"/>
    <w:rsid w:val="00266A3D"/>
    <w:rsid w:val="00266E59"/>
    <w:rsid w:val="0026711E"/>
    <w:rsid w:val="002673FD"/>
    <w:rsid w:val="00267DEB"/>
    <w:rsid w:val="00270352"/>
    <w:rsid w:val="002707B0"/>
    <w:rsid w:val="002714A1"/>
    <w:rsid w:val="0027154D"/>
    <w:rsid w:val="00271E26"/>
    <w:rsid w:val="00273DCD"/>
    <w:rsid w:val="00274263"/>
    <w:rsid w:val="002744A6"/>
    <w:rsid w:val="002761A8"/>
    <w:rsid w:val="00276309"/>
    <w:rsid w:val="00280691"/>
    <w:rsid w:val="00281576"/>
    <w:rsid w:val="00281C95"/>
    <w:rsid w:val="0028200D"/>
    <w:rsid w:val="00285065"/>
    <w:rsid w:val="002907B0"/>
    <w:rsid w:val="00292B33"/>
    <w:rsid w:val="00293594"/>
    <w:rsid w:val="00294D4B"/>
    <w:rsid w:val="002957A1"/>
    <w:rsid w:val="00296526"/>
    <w:rsid w:val="0029668A"/>
    <w:rsid w:val="002A0848"/>
    <w:rsid w:val="002A14E2"/>
    <w:rsid w:val="002A1BBE"/>
    <w:rsid w:val="002A26F5"/>
    <w:rsid w:val="002A35A7"/>
    <w:rsid w:val="002A43E6"/>
    <w:rsid w:val="002A62D7"/>
    <w:rsid w:val="002A6BC7"/>
    <w:rsid w:val="002B0306"/>
    <w:rsid w:val="002B05A2"/>
    <w:rsid w:val="002B25A3"/>
    <w:rsid w:val="002B35CD"/>
    <w:rsid w:val="002B5506"/>
    <w:rsid w:val="002B754C"/>
    <w:rsid w:val="002B7E49"/>
    <w:rsid w:val="002C0768"/>
    <w:rsid w:val="002C2308"/>
    <w:rsid w:val="002C25A2"/>
    <w:rsid w:val="002C2C0E"/>
    <w:rsid w:val="002C40B1"/>
    <w:rsid w:val="002C4AC4"/>
    <w:rsid w:val="002C516A"/>
    <w:rsid w:val="002C5808"/>
    <w:rsid w:val="002C78FB"/>
    <w:rsid w:val="002D1973"/>
    <w:rsid w:val="002D29F1"/>
    <w:rsid w:val="002D2B7E"/>
    <w:rsid w:val="002D36BD"/>
    <w:rsid w:val="002D5752"/>
    <w:rsid w:val="002D60BE"/>
    <w:rsid w:val="002D7054"/>
    <w:rsid w:val="002E0231"/>
    <w:rsid w:val="002E0449"/>
    <w:rsid w:val="002E23AE"/>
    <w:rsid w:val="002E3334"/>
    <w:rsid w:val="002E3A44"/>
    <w:rsid w:val="002E6A9C"/>
    <w:rsid w:val="002F04FD"/>
    <w:rsid w:val="002F057E"/>
    <w:rsid w:val="002F372E"/>
    <w:rsid w:val="002F3898"/>
    <w:rsid w:val="002F4BA5"/>
    <w:rsid w:val="002F4DB2"/>
    <w:rsid w:val="002F4E9C"/>
    <w:rsid w:val="002F4EBE"/>
    <w:rsid w:val="002F68F6"/>
    <w:rsid w:val="002F788B"/>
    <w:rsid w:val="00302955"/>
    <w:rsid w:val="003030D8"/>
    <w:rsid w:val="00304B58"/>
    <w:rsid w:val="00304E6F"/>
    <w:rsid w:val="00305418"/>
    <w:rsid w:val="003058DD"/>
    <w:rsid w:val="00307501"/>
    <w:rsid w:val="00310CFE"/>
    <w:rsid w:val="0031150F"/>
    <w:rsid w:val="00311D72"/>
    <w:rsid w:val="00315BC0"/>
    <w:rsid w:val="003162D7"/>
    <w:rsid w:val="003163F1"/>
    <w:rsid w:val="00316ED3"/>
    <w:rsid w:val="0032119E"/>
    <w:rsid w:val="003215AE"/>
    <w:rsid w:val="0032498B"/>
    <w:rsid w:val="003251AC"/>
    <w:rsid w:val="003318B2"/>
    <w:rsid w:val="00331C9C"/>
    <w:rsid w:val="00331EC8"/>
    <w:rsid w:val="00332629"/>
    <w:rsid w:val="00332878"/>
    <w:rsid w:val="003328A6"/>
    <w:rsid w:val="00333566"/>
    <w:rsid w:val="0033642D"/>
    <w:rsid w:val="00336DA5"/>
    <w:rsid w:val="003403F8"/>
    <w:rsid w:val="00340931"/>
    <w:rsid w:val="00343BB3"/>
    <w:rsid w:val="00344734"/>
    <w:rsid w:val="00344C27"/>
    <w:rsid w:val="00344E6B"/>
    <w:rsid w:val="0034573D"/>
    <w:rsid w:val="003469E0"/>
    <w:rsid w:val="00346C3F"/>
    <w:rsid w:val="00350FFF"/>
    <w:rsid w:val="003527AF"/>
    <w:rsid w:val="00354645"/>
    <w:rsid w:val="0035616A"/>
    <w:rsid w:val="00356872"/>
    <w:rsid w:val="00357050"/>
    <w:rsid w:val="0035718F"/>
    <w:rsid w:val="00364A75"/>
    <w:rsid w:val="003656C6"/>
    <w:rsid w:val="0036608A"/>
    <w:rsid w:val="00366334"/>
    <w:rsid w:val="0036757B"/>
    <w:rsid w:val="003702C6"/>
    <w:rsid w:val="00370400"/>
    <w:rsid w:val="00371224"/>
    <w:rsid w:val="00372A07"/>
    <w:rsid w:val="00372B4B"/>
    <w:rsid w:val="00372EB4"/>
    <w:rsid w:val="00374F74"/>
    <w:rsid w:val="00375647"/>
    <w:rsid w:val="00375E6D"/>
    <w:rsid w:val="00377AA9"/>
    <w:rsid w:val="00380144"/>
    <w:rsid w:val="003821CD"/>
    <w:rsid w:val="00385CA1"/>
    <w:rsid w:val="0038630C"/>
    <w:rsid w:val="0039156E"/>
    <w:rsid w:val="003938A3"/>
    <w:rsid w:val="00394CC2"/>
    <w:rsid w:val="003953AD"/>
    <w:rsid w:val="0039581C"/>
    <w:rsid w:val="003959D5"/>
    <w:rsid w:val="003A00BB"/>
    <w:rsid w:val="003A0E5B"/>
    <w:rsid w:val="003A19F5"/>
    <w:rsid w:val="003A27BD"/>
    <w:rsid w:val="003A5169"/>
    <w:rsid w:val="003A5C6A"/>
    <w:rsid w:val="003A67FD"/>
    <w:rsid w:val="003A6DD5"/>
    <w:rsid w:val="003A6EE3"/>
    <w:rsid w:val="003A6F88"/>
    <w:rsid w:val="003A7846"/>
    <w:rsid w:val="003B0086"/>
    <w:rsid w:val="003B197F"/>
    <w:rsid w:val="003B2BBB"/>
    <w:rsid w:val="003B4987"/>
    <w:rsid w:val="003B4CE1"/>
    <w:rsid w:val="003B6187"/>
    <w:rsid w:val="003B7A95"/>
    <w:rsid w:val="003C05A2"/>
    <w:rsid w:val="003C0781"/>
    <w:rsid w:val="003C16D1"/>
    <w:rsid w:val="003C1858"/>
    <w:rsid w:val="003C2726"/>
    <w:rsid w:val="003C3AD5"/>
    <w:rsid w:val="003C4DEE"/>
    <w:rsid w:val="003C548D"/>
    <w:rsid w:val="003C5DAB"/>
    <w:rsid w:val="003C5E98"/>
    <w:rsid w:val="003C6203"/>
    <w:rsid w:val="003C6383"/>
    <w:rsid w:val="003C69A9"/>
    <w:rsid w:val="003D0105"/>
    <w:rsid w:val="003D1CA7"/>
    <w:rsid w:val="003D1ED0"/>
    <w:rsid w:val="003D28ED"/>
    <w:rsid w:val="003D2A87"/>
    <w:rsid w:val="003D395E"/>
    <w:rsid w:val="003E3B40"/>
    <w:rsid w:val="003E3E57"/>
    <w:rsid w:val="003E5F0E"/>
    <w:rsid w:val="003F0236"/>
    <w:rsid w:val="003F0296"/>
    <w:rsid w:val="003F2499"/>
    <w:rsid w:val="003F4764"/>
    <w:rsid w:val="003F7CA3"/>
    <w:rsid w:val="00402478"/>
    <w:rsid w:val="00404B37"/>
    <w:rsid w:val="004076F8"/>
    <w:rsid w:val="00410532"/>
    <w:rsid w:val="00412DB6"/>
    <w:rsid w:val="00413926"/>
    <w:rsid w:val="004139D8"/>
    <w:rsid w:val="00415718"/>
    <w:rsid w:val="004159F9"/>
    <w:rsid w:val="00415D9A"/>
    <w:rsid w:val="00417562"/>
    <w:rsid w:val="00417FA3"/>
    <w:rsid w:val="00420AA2"/>
    <w:rsid w:val="00421316"/>
    <w:rsid w:val="0042233E"/>
    <w:rsid w:val="00422E1F"/>
    <w:rsid w:val="004255CD"/>
    <w:rsid w:val="00426028"/>
    <w:rsid w:val="0042690D"/>
    <w:rsid w:val="00427515"/>
    <w:rsid w:val="00427A0C"/>
    <w:rsid w:val="0043066C"/>
    <w:rsid w:val="00431D0D"/>
    <w:rsid w:val="00432948"/>
    <w:rsid w:val="0043631D"/>
    <w:rsid w:val="00436A93"/>
    <w:rsid w:val="00437D56"/>
    <w:rsid w:val="004405BF"/>
    <w:rsid w:val="004418EE"/>
    <w:rsid w:val="00441E81"/>
    <w:rsid w:val="00442754"/>
    <w:rsid w:val="00446E0C"/>
    <w:rsid w:val="00446F27"/>
    <w:rsid w:val="004500A1"/>
    <w:rsid w:val="0045070B"/>
    <w:rsid w:val="00451B0E"/>
    <w:rsid w:val="00452FD0"/>
    <w:rsid w:val="00453479"/>
    <w:rsid w:val="00456E53"/>
    <w:rsid w:val="00457190"/>
    <w:rsid w:val="00460F81"/>
    <w:rsid w:val="00461CD5"/>
    <w:rsid w:val="00462C9B"/>
    <w:rsid w:val="00464045"/>
    <w:rsid w:val="0046462A"/>
    <w:rsid w:val="004666F3"/>
    <w:rsid w:val="00466916"/>
    <w:rsid w:val="004678FD"/>
    <w:rsid w:val="004700F9"/>
    <w:rsid w:val="00470109"/>
    <w:rsid w:val="0047067B"/>
    <w:rsid w:val="00470AE9"/>
    <w:rsid w:val="00471201"/>
    <w:rsid w:val="0047125D"/>
    <w:rsid w:val="00472080"/>
    <w:rsid w:val="004726F1"/>
    <w:rsid w:val="00472BC6"/>
    <w:rsid w:val="00474D38"/>
    <w:rsid w:val="00474FC3"/>
    <w:rsid w:val="0048079C"/>
    <w:rsid w:val="00480CD7"/>
    <w:rsid w:val="00480DB6"/>
    <w:rsid w:val="0048603F"/>
    <w:rsid w:val="00486BFA"/>
    <w:rsid w:val="0048726B"/>
    <w:rsid w:val="00487816"/>
    <w:rsid w:val="004910DB"/>
    <w:rsid w:val="004917CA"/>
    <w:rsid w:val="0049231E"/>
    <w:rsid w:val="004924CE"/>
    <w:rsid w:val="00493596"/>
    <w:rsid w:val="004945DE"/>
    <w:rsid w:val="00494938"/>
    <w:rsid w:val="004A043B"/>
    <w:rsid w:val="004A1057"/>
    <w:rsid w:val="004A2047"/>
    <w:rsid w:val="004A20D3"/>
    <w:rsid w:val="004A4302"/>
    <w:rsid w:val="004A486F"/>
    <w:rsid w:val="004A4913"/>
    <w:rsid w:val="004A5250"/>
    <w:rsid w:val="004A5C9B"/>
    <w:rsid w:val="004A72E3"/>
    <w:rsid w:val="004B1BAC"/>
    <w:rsid w:val="004B2E92"/>
    <w:rsid w:val="004B4784"/>
    <w:rsid w:val="004B5C58"/>
    <w:rsid w:val="004B6E6D"/>
    <w:rsid w:val="004B6F9B"/>
    <w:rsid w:val="004B6FEF"/>
    <w:rsid w:val="004C0AC2"/>
    <w:rsid w:val="004C3980"/>
    <w:rsid w:val="004C3DDF"/>
    <w:rsid w:val="004C44F1"/>
    <w:rsid w:val="004C5A1C"/>
    <w:rsid w:val="004D08E7"/>
    <w:rsid w:val="004D0DCD"/>
    <w:rsid w:val="004D18CE"/>
    <w:rsid w:val="004D3281"/>
    <w:rsid w:val="004D3883"/>
    <w:rsid w:val="004D3D15"/>
    <w:rsid w:val="004D541A"/>
    <w:rsid w:val="004D5EF7"/>
    <w:rsid w:val="004D60D7"/>
    <w:rsid w:val="004D6F88"/>
    <w:rsid w:val="004E06AF"/>
    <w:rsid w:val="004E1295"/>
    <w:rsid w:val="004E2617"/>
    <w:rsid w:val="004E2CF4"/>
    <w:rsid w:val="004E3C60"/>
    <w:rsid w:val="004E3CD6"/>
    <w:rsid w:val="004E4BAF"/>
    <w:rsid w:val="004E56E7"/>
    <w:rsid w:val="004E5DAB"/>
    <w:rsid w:val="004E6070"/>
    <w:rsid w:val="004E685C"/>
    <w:rsid w:val="004F01AB"/>
    <w:rsid w:val="004F0D6F"/>
    <w:rsid w:val="004F0FEB"/>
    <w:rsid w:val="004F13B7"/>
    <w:rsid w:val="004F2ABE"/>
    <w:rsid w:val="004F2F23"/>
    <w:rsid w:val="004F30CE"/>
    <w:rsid w:val="004F3174"/>
    <w:rsid w:val="004F3549"/>
    <w:rsid w:val="004F35B6"/>
    <w:rsid w:val="004F371C"/>
    <w:rsid w:val="004F3815"/>
    <w:rsid w:val="004F65C1"/>
    <w:rsid w:val="004F71C2"/>
    <w:rsid w:val="004F7ECC"/>
    <w:rsid w:val="005003E4"/>
    <w:rsid w:val="00501EDB"/>
    <w:rsid w:val="005037A6"/>
    <w:rsid w:val="0050410A"/>
    <w:rsid w:val="005052C8"/>
    <w:rsid w:val="00505E61"/>
    <w:rsid w:val="005064D1"/>
    <w:rsid w:val="00510EBE"/>
    <w:rsid w:val="00511120"/>
    <w:rsid w:val="00511DB0"/>
    <w:rsid w:val="00512424"/>
    <w:rsid w:val="00512BD2"/>
    <w:rsid w:val="00513188"/>
    <w:rsid w:val="005132EF"/>
    <w:rsid w:val="00513700"/>
    <w:rsid w:val="00513E2E"/>
    <w:rsid w:val="00515A39"/>
    <w:rsid w:val="005160F8"/>
    <w:rsid w:val="005163C8"/>
    <w:rsid w:val="00516577"/>
    <w:rsid w:val="005166E0"/>
    <w:rsid w:val="005202B8"/>
    <w:rsid w:val="0052160F"/>
    <w:rsid w:val="00523767"/>
    <w:rsid w:val="00525FA4"/>
    <w:rsid w:val="00532770"/>
    <w:rsid w:val="0053666F"/>
    <w:rsid w:val="00537653"/>
    <w:rsid w:val="00537811"/>
    <w:rsid w:val="00537977"/>
    <w:rsid w:val="00537DD6"/>
    <w:rsid w:val="005402EC"/>
    <w:rsid w:val="0054081F"/>
    <w:rsid w:val="00542AFC"/>
    <w:rsid w:val="005436B5"/>
    <w:rsid w:val="00544ABE"/>
    <w:rsid w:val="005450C2"/>
    <w:rsid w:val="0054557C"/>
    <w:rsid w:val="0054596F"/>
    <w:rsid w:val="0054610B"/>
    <w:rsid w:val="00552121"/>
    <w:rsid w:val="005528EE"/>
    <w:rsid w:val="00552BE8"/>
    <w:rsid w:val="00552EE7"/>
    <w:rsid w:val="005543BD"/>
    <w:rsid w:val="00554EDD"/>
    <w:rsid w:val="00555510"/>
    <w:rsid w:val="00555C4C"/>
    <w:rsid w:val="005561C6"/>
    <w:rsid w:val="0055640A"/>
    <w:rsid w:val="00556526"/>
    <w:rsid w:val="00557F40"/>
    <w:rsid w:val="00560237"/>
    <w:rsid w:val="00560A5D"/>
    <w:rsid w:val="00560C72"/>
    <w:rsid w:val="005629CE"/>
    <w:rsid w:val="005647A4"/>
    <w:rsid w:val="0056563B"/>
    <w:rsid w:val="00566411"/>
    <w:rsid w:val="00566743"/>
    <w:rsid w:val="00566774"/>
    <w:rsid w:val="00566EF7"/>
    <w:rsid w:val="00570554"/>
    <w:rsid w:val="00573B9A"/>
    <w:rsid w:val="00577A9F"/>
    <w:rsid w:val="00577AAD"/>
    <w:rsid w:val="00577DB3"/>
    <w:rsid w:val="00580879"/>
    <w:rsid w:val="00580B4F"/>
    <w:rsid w:val="005818C7"/>
    <w:rsid w:val="00581DC9"/>
    <w:rsid w:val="00582737"/>
    <w:rsid w:val="00584C91"/>
    <w:rsid w:val="00586DA4"/>
    <w:rsid w:val="005870F7"/>
    <w:rsid w:val="00587251"/>
    <w:rsid w:val="00587C2C"/>
    <w:rsid w:val="00590F77"/>
    <w:rsid w:val="00592A38"/>
    <w:rsid w:val="00592C0A"/>
    <w:rsid w:val="00593B94"/>
    <w:rsid w:val="00594901"/>
    <w:rsid w:val="00595FFC"/>
    <w:rsid w:val="0059646F"/>
    <w:rsid w:val="00597D55"/>
    <w:rsid w:val="005A05E9"/>
    <w:rsid w:val="005A07FC"/>
    <w:rsid w:val="005A08D3"/>
    <w:rsid w:val="005A16B3"/>
    <w:rsid w:val="005A1857"/>
    <w:rsid w:val="005A1C17"/>
    <w:rsid w:val="005A2D63"/>
    <w:rsid w:val="005A2DFB"/>
    <w:rsid w:val="005A43B8"/>
    <w:rsid w:val="005A4AC8"/>
    <w:rsid w:val="005A542A"/>
    <w:rsid w:val="005A6A9A"/>
    <w:rsid w:val="005A6DD2"/>
    <w:rsid w:val="005A6E3E"/>
    <w:rsid w:val="005A7344"/>
    <w:rsid w:val="005B13AB"/>
    <w:rsid w:val="005B15E3"/>
    <w:rsid w:val="005B3007"/>
    <w:rsid w:val="005B3FC2"/>
    <w:rsid w:val="005B4365"/>
    <w:rsid w:val="005B5D1E"/>
    <w:rsid w:val="005C007B"/>
    <w:rsid w:val="005C0BDD"/>
    <w:rsid w:val="005C12C3"/>
    <w:rsid w:val="005C26F6"/>
    <w:rsid w:val="005C2C09"/>
    <w:rsid w:val="005C3973"/>
    <w:rsid w:val="005C75D2"/>
    <w:rsid w:val="005D1036"/>
    <w:rsid w:val="005D1A7C"/>
    <w:rsid w:val="005D2759"/>
    <w:rsid w:val="005D2CCE"/>
    <w:rsid w:val="005D31BE"/>
    <w:rsid w:val="005D3422"/>
    <w:rsid w:val="005D3D86"/>
    <w:rsid w:val="005D7CAD"/>
    <w:rsid w:val="005E0932"/>
    <w:rsid w:val="005E0946"/>
    <w:rsid w:val="005E0F14"/>
    <w:rsid w:val="005E1F97"/>
    <w:rsid w:val="005E292B"/>
    <w:rsid w:val="005E3954"/>
    <w:rsid w:val="005E46FD"/>
    <w:rsid w:val="005E579C"/>
    <w:rsid w:val="005E7823"/>
    <w:rsid w:val="005E7C1D"/>
    <w:rsid w:val="005E7E61"/>
    <w:rsid w:val="005F26E4"/>
    <w:rsid w:val="005F28D1"/>
    <w:rsid w:val="005F3420"/>
    <w:rsid w:val="005F3DD1"/>
    <w:rsid w:val="005F465A"/>
    <w:rsid w:val="005F4E95"/>
    <w:rsid w:val="005F5EAD"/>
    <w:rsid w:val="005F6F76"/>
    <w:rsid w:val="005F79DE"/>
    <w:rsid w:val="0060087F"/>
    <w:rsid w:val="006037E3"/>
    <w:rsid w:val="00606A42"/>
    <w:rsid w:val="00606F4D"/>
    <w:rsid w:val="006074A3"/>
    <w:rsid w:val="00607A75"/>
    <w:rsid w:val="00607C6B"/>
    <w:rsid w:val="00611577"/>
    <w:rsid w:val="00612299"/>
    <w:rsid w:val="00612B96"/>
    <w:rsid w:val="0061323F"/>
    <w:rsid w:val="00613388"/>
    <w:rsid w:val="00613FA8"/>
    <w:rsid w:val="00614786"/>
    <w:rsid w:val="00614877"/>
    <w:rsid w:val="00615A05"/>
    <w:rsid w:val="006174D0"/>
    <w:rsid w:val="0062019E"/>
    <w:rsid w:val="00620B29"/>
    <w:rsid w:val="00620C7F"/>
    <w:rsid w:val="00621D03"/>
    <w:rsid w:val="0062465D"/>
    <w:rsid w:val="00624AEB"/>
    <w:rsid w:val="006251D6"/>
    <w:rsid w:val="00625433"/>
    <w:rsid w:val="00631FF6"/>
    <w:rsid w:val="00632434"/>
    <w:rsid w:val="00632B44"/>
    <w:rsid w:val="00632D2F"/>
    <w:rsid w:val="00633539"/>
    <w:rsid w:val="0063369F"/>
    <w:rsid w:val="006343E0"/>
    <w:rsid w:val="00635B4B"/>
    <w:rsid w:val="00637232"/>
    <w:rsid w:val="0064038B"/>
    <w:rsid w:val="00640810"/>
    <w:rsid w:val="006415FE"/>
    <w:rsid w:val="0064186C"/>
    <w:rsid w:val="006421F1"/>
    <w:rsid w:val="0064307F"/>
    <w:rsid w:val="006430E8"/>
    <w:rsid w:val="00643745"/>
    <w:rsid w:val="006440C3"/>
    <w:rsid w:val="00644571"/>
    <w:rsid w:val="006448D5"/>
    <w:rsid w:val="00644E58"/>
    <w:rsid w:val="00645B7A"/>
    <w:rsid w:val="006474CC"/>
    <w:rsid w:val="0064761E"/>
    <w:rsid w:val="00650A01"/>
    <w:rsid w:val="006513A1"/>
    <w:rsid w:val="006524D6"/>
    <w:rsid w:val="00655053"/>
    <w:rsid w:val="006553ED"/>
    <w:rsid w:val="0065779D"/>
    <w:rsid w:val="006579EF"/>
    <w:rsid w:val="006626AB"/>
    <w:rsid w:val="0066324C"/>
    <w:rsid w:val="0066369D"/>
    <w:rsid w:val="006657A2"/>
    <w:rsid w:val="00666934"/>
    <w:rsid w:val="006669C6"/>
    <w:rsid w:val="00666C04"/>
    <w:rsid w:val="006673C9"/>
    <w:rsid w:val="00667C06"/>
    <w:rsid w:val="00667EA3"/>
    <w:rsid w:val="00670B84"/>
    <w:rsid w:val="006752C9"/>
    <w:rsid w:val="00675C8B"/>
    <w:rsid w:val="0067604D"/>
    <w:rsid w:val="00676A54"/>
    <w:rsid w:val="0067754C"/>
    <w:rsid w:val="00681D46"/>
    <w:rsid w:val="006836D5"/>
    <w:rsid w:val="00683B23"/>
    <w:rsid w:val="0068612C"/>
    <w:rsid w:val="0068639F"/>
    <w:rsid w:val="006864B3"/>
    <w:rsid w:val="0068669D"/>
    <w:rsid w:val="00686D6E"/>
    <w:rsid w:val="006877B1"/>
    <w:rsid w:val="006901FE"/>
    <w:rsid w:val="00690D15"/>
    <w:rsid w:val="00690D92"/>
    <w:rsid w:val="006918F5"/>
    <w:rsid w:val="0069289A"/>
    <w:rsid w:val="00692EE5"/>
    <w:rsid w:val="00693A0D"/>
    <w:rsid w:val="006940F9"/>
    <w:rsid w:val="00695163"/>
    <w:rsid w:val="00695876"/>
    <w:rsid w:val="006A0966"/>
    <w:rsid w:val="006A115F"/>
    <w:rsid w:val="006A1FD2"/>
    <w:rsid w:val="006A598E"/>
    <w:rsid w:val="006A6564"/>
    <w:rsid w:val="006A6794"/>
    <w:rsid w:val="006A7692"/>
    <w:rsid w:val="006A7941"/>
    <w:rsid w:val="006B0712"/>
    <w:rsid w:val="006B0ACB"/>
    <w:rsid w:val="006B26B7"/>
    <w:rsid w:val="006B53E3"/>
    <w:rsid w:val="006B552B"/>
    <w:rsid w:val="006C0AED"/>
    <w:rsid w:val="006C3306"/>
    <w:rsid w:val="006C341B"/>
    <w:rsid w:val="006C409D"/>
    <w:rsid w:val="006D0260"/>
    <w:rsid w:val="006D3F5B"/>
    <w:rsid w:val="006D4FD4"/>
    <w:rsid w:val="006D5663"/>
    <w:rsid w:val="006D6349"/>
    <w:rsid w:val="006D6C1D"/>
    <w:rsid w:val="006E1009"/>
    <w:rsid w:val="006E3519"/>
    <w:rsid w:val="006E528B"/>
    <w:rsid w:val="006E55C6"/>
    <w:rsid w:val="006E6163"/>
    <w:rsid w:val="006E7BC3"/>
    <w:rsid w:val="006F2164"/>
    <w:rsid w:val="006F2338"/>
    <w:rsid w:val="006F2856"/>
    <w:rsid w:val="006F3C02"/>
    <w:rsid w:val="006F3C33"/>
    <w:rsid w:val="006F3C85"/>
    <w:rsid w:val="006F416F"/>
    <w:rsid w:val="006F4532"/>
    <w:rsid w:val="006F6A7C"/>
    <w:rsid w:val="0070045D"/>
    <w:rsid w:val="00704BBD"/>
    <w:rsid w:val="007062E6"/>
    <w:rsid w:val="00706364"/>
    <w:rsid w:val="00707855"/>
    <w:rsid w:val="007100B7"/>
    <w:rsid w:val="00712E2E"/>
    <w:rsid w:val="007131FA"/>
    <w:rsid w:val="007134EE"/>
    <w:rsid w:val="007134F5"/>
    <w:rsid w:val="007154D4"/>
    <w:rsid w:val="00715759"/>
    <w:rsid w:val="00715BF5"/>
    <w:rsid w:val="00716054"/>
    <w:rsid w:val="00717F64"/>
    <w:rsid w:val="00720A92"/>
    <w:rsid w:val="00721185"/>
    <w:rsid w:val="007220FC"/>
    <w:rsid w:val="0072347F"/>
    <w:rsid w:val="007245A3"/>
    <w:rsid w:val="007252C0"/>
    <w:rsid w:val="00725D80"/>
    <w:rsid w:val="007263E1"/>
    <w:rsid w:val="007271F6"/>
    <w:rsid w:val="007303D4"/>
    <w:rsid w:val="00730C59"/>
    <w:rsid w:val="00733C9B"/>
    <w:rsid w:val="0073448B"/>
    <w:rsid w:val="00735054"/>
    <w:rsid w:val="00735338"/>
    <w:rsid w:val="00740635"/>
    <w:rsid w:val="0074079A"/>
    <w:rsid w:val="0074156F"/>
    <w:rsid w:val="007445DA"/>
    <w:rsid w:val="00744F24"/>
    <w:rsid w:val="00745441"/>
    <w:rsid w:val="00750E40"/>
    <w:rsid w:val="00751A2E"/>
    <w:rsid w:val="00753AF6"/>
    <w:rsid w:val="00753BB6"/>
    <w:rsid w:val="0075429F"/>
    <w:rsid w:val="00755C8A"/>
    <w:rsid w:val="007567E8"/>
    <w:rsid w:val="00760161"/>
    <w:rsid w:val="00760E4D"/>
    <w:rsid w:val="00761CA1"/>
    <w:rsid w:val="007622E4"/>
    <w:rsid w:val="0076568E"/>
    <w:rsid w:val="0076574B"/>
    <w:rsid w:val="00765D01"/>
    <w:rsid w:val="00766680"/>
    <w:rsid w:val="00766BE7"/>
    <w:rsid w:val="007704F0"/>
    <w:rsid w:val="0077050E"/>
    <w:rsid w:val="00770A3E"/>
    <w:rsid w:val="00771D60"/>
    <w:rsid w:val="00771D8E"/>
    <w:rsid w:val="00773C09"/>
    <w:rsid w:val="007744EC"/>
    <w:rsid w:val="0077579C"/>
    <w:rsid w:val="00776E6E"/>
    <w:rsid w:val="007804AB"/>
    <w:rsid w:val="007816BF"/>
    <w:rsid w:val="00782249"/>
    <w:rsid w:val="00782C54"/>
    <w:rsid w:val="007838E9"/>
    <w:rsid w:val="00784DAF"/>
    <w:rsid w:val="00784FC7"/>
    <w:rsid w:val="00786CFE"/>
    <w:rsid w:val="00787D69"/>
    <w:rsid w:val="00792A1F"/>
    <w:rsid w:val="00793129"/>
    <w:rsid w:val="00793975"/>
    <w:rsid w:val="00794641"/>
    <w:rsid w:val="007968B3"/>
    <w:rsid w:val="0079700D"/>
    <w:rsid w:val="00797C76"/>
    <w:rsid w:val="007A03A9"/>
    <w:rsid w:val="007A2BAE"/>
    <w:rsid w:val="007A47E2"/>
    <w:rsid w:val="007A4B42"/>
    <w:rsid w:val="007A544F"/>
    <w:rsid w:val="007A54C4"/>
    <w:rsid w:val="007A5A88"/>
    <w:rsid w:val="007A5B26"/>
    <w:rsid w:val="007A5FE5"/>
    <w:rsid w:val="007A67A8"/>
    <w:rsid w:val="007A70F2"/>
    <w:rsid w:val="007A78FC"/>
    <w:rsid w:val="007B04A3"/>
    <w:rsid w:val="007B0EA6"/>
    <w:rsid w:val="007B1A0B"/>
    <w:rsid w:val="007B3133"/>
    <w:rsid w:val="007B3134"/>
    <w:rsid w:val="007B3BFF"/>
    <w:rsid w:val="007B42D8"/>
    <w:rsid w:val="007B446E"/>
    <w:rsid w:val="007B48AB"/>
    <w:rsid w:val="007B58D7"/>
    <w:rsid w:val="007C0CAF"/>
    <w:rsid w:val="007C1209"/>
    <w:rsid w:val="007C19F5"/>
    <w:rsid w:val="007C38FE"/>
    <w:rsid w:val="007C575A"/>
    <w:rsid w:val="007C7AAA"/>
    <w:rsid w:val="007D090F"/>
    <w:rsid w:val="007D11C4"/>
    <w:rsid w:val="007D2BE7"/>
    <w:rsid w:val="007D5819"/>
    <w:rsid w:val="007E0AC0"/>
    <w:rsid w:val="007E1B02"/>
    <w:rsid w:val="007E2850"/>
    <w:rsid w:val="007E302E"/>
    <w:rsid w:val="007E3B1C"/>
    <w:rsid w:val="007E3CEA"/>
    <w:rsid w:val="007E42C3"/>
    <w:rsid w:val="007E512C"/>
    <w:rsid w:val="007E52A2"/>
    <w:rsid w:val="007E6BB3"/>
    <w:rsid w:val="007E6FB7"/>
    <w:rsid w:val="007E7477"/>
    <w:rsid w:val="007E7A53"/>
    <w:rsid w:val="007F051B"/>
    <w:rsid w:val="007F055A"/>
    <w:rsid w:val="007F22A5"/>
    <w:rsid w:val="007F3640"/>
    <w:rsid w:val="007F42F7"/>
    <w:rsid w:val="007F466F"/>
    <w:rsid w:val="007F4A06"/>
    <w:rsid w:val="007F6EF9"/>
    <w:rsid w:val="00800193"/>
    <w:rsid w:val="008009B8"/>
    <w:rsid w:val="00800EE0"/>
    <w:rsid w:val="008016B6"/>
    <w:rsid w:val="008032F8"/>
    <w:rsid w:val="0080346E"/>
    <w:rsid w:val="0080395A"/>
    <w:rsid w:val="00803F84"/>
    <w:rsid w:val="008044E2"/>
    <w:rsid w:val="0080507F"/>
    <w:rsid w:val="0080513F"/>
    <w:rsid w:val="00805BAB"/>
    <w:rsid w:val="00806FD3"/>
    <w:rsid w:val="0081214C"/>
    <w:rsid w:val="00812363"/>
    <w:rsid w:val="008130D9"/>
    <w:rsid w:val="0081426F"/>
    <w:rsid w:val="00815C35"/>
    <w:rsid w:val="008164D6"/>
    <w:rsid w:val="00816A83"/>
    <w:rsid w:val="00817BC4"/>
    <w:rsid w:val="0082114D"/>
    <w:rsid w:val="00821396"/>
    <w:rsid w:val="00821CE5"/>
    <w:rsid w:val="00823E0F"/>
    <w:rsid w:val="0082480E"/>
    <w:rsid w:val="0082625D"/>
    <w:rsid w:val="008264B3"/>
    <w:rsid w:val="0082669B"/>
    <w:rsid w:val="00830EE5"/>
    <w:rsid w:val="00832007"/>
    <w:rsid w:val="00832673"/>
    <w:rsid w:val="00832934"/>
    <w:rsid w:val="008330A5"/>
    <w:rsid w:val="00834871"/>
    <w:rsid w:val="00834CF2"/>
    <w:rsid w:val="00835265"/>
    <w:rsid w:val="008356A3"/>
    <w:rsid w:val="00836CE5"/>
    <w:rsid w:val="0084066C"/>
    <w:rsid w:val="00842607"/>
    <w:rsid w:val="0084523F"/>
    <w:rsid w:val="008467EC"/>
    <w:rsid w:val="00846B76"/>
    <w:rsid w:val="00846E25"/>
    <w:rsid w:val="00847DEE"/>
    <w:rsid w:val="00853DBB"/>
    <w:rsid w:val="00854737"/>
    <w:rsid w:val="00854C10"/>
    <w:rsid w:val="00855CAE"/>
    <w:rsid w:val="00861BAC"/>
    <w:rsid w:val="00861CCF"/>
    <w:rsid w:val="008631C4"/>
    <w:rsid w:val="00864DCA"/>
    <w:rsid w:val="00871691"/>
    <w:rsid w:val="00871D1E"/>
    <w:rsid w:val="008724A0"/>
    <w:rsid w:val="0087262B"/>
    <w:rsid w:val="00872D7E"/>
    <w:rsid w:val="008744D2"/>
    <w:rsid w:val="00880035"/>
    <w:rsid w:val="008804D9"/>
    <w:rsid w:val="0088101D"/>
    <w:rsid w:val="008843E5"/>
    <w:rsid w:val="00887167"/>
    <w:rsid w:val="00893631"/>
    <w:rsid w:val="00893672"/>
    <w:rsid w:val="008943C6"/>
    <w:rsid w:val="0089595A"/>
    <w:rsid w:val="0089600A"/>
    <w:rsid w:val="008977E3"/>
    <w:rsid w:val="008A0B6C"/>
    <w:rsid w:val="008A133B"/>
    <w:rsid w:val="008A1B19"/>
    <w:rsid w:val="008A1C17"/>
    <w:rsid w:val="008A2991"/>
    <w:rsid w:val="008A3E74"/>
    <w:rsid w:val="008A4E73"/>
    <w:rsid w:val="008A5CF3"/>
    <w:rsid w:val="008A724A"/>
    <w:rsid w:val="008B0ABA"/>
    <w:rsid w:val="008B17A4"/>
    <w:rsid w:val="008B20D3"/>
    <w:rsid w:val="008B2DBB"/>
    <w:rsid w:val="008B38A1"/>
    <w:rsid w:val="008B4457"/>
    <w:rsid w:val="008B44B8"/>
    <w:rsid w:val="008B4C42"/>
    <w:rsid w:val="008B54F4"/>
    <w:rsid w:val="008B5AA4"/>
    <w:rsid w:val="008C2B66"/>
    <w:rsid w:val="008C5A00"/>
    <w:rsid w:val="008C64E5"/>
    <w:rsid w:val="008C6554"/>
    <w:rsid w:val="008C661B"/>
    <w:rsid w:val="008C6AC0"/>
    <w:rsid w:val="008D0842"/>
    <w:rsid w:val="008D0E40"/>
    <w:rsid w:val="008D15E8"/>
    <w:rsid w:val="008D2DDC"/>
    <w:rsid w:val="008D37E8"/>
    <w:rsid w:val="008D6272"/>
    <w:rsid w:val="008D76F3"/>
    <w:rsid w:val="008E0A11"/>
    <w:rsid w:val="008E200D"/>
    <w:rsid w:val="008E28EF"/>
    <w:rsid w:val="008E34A9"/>
    <w:rsid w:val="008E3A10"/>
    <w:rsid w:val="008E3DEC"/>
    <w:rsid w:val="008E41AC"/>
    <w:rsid w:val="008E4363"/>
    <w:rsid w:val="008E54B3"/>
    <w:rsid w:val="008E5A88"/>
    <w:rsid w:val="008E6136"/>
    <w:rsid w:val="008E625C"/>
    <w:rsid w:val="008F0959"/>
    <w:rsid w:val="008F2CE9"/>
    <w:rsid w:val="008F3BB2"/>
    <w:rsid w:val="008F45F4"/>
    <w:rsid w:val="008F680B"/>
    <w:rsid w:val="008F75AB"/>
    <w:rsid w:val="008F78C1"/>
    <w:rsid w:val="008F7FD3"/>
    <w:rsid w:val="0090254B"/>
    <w:rsid w:val="00902E8E"/>
    <w:rsid w:val="009048FB"/>
    <w:rsid w:val="009156CB"/>
    <w:rsid w:val="00917858"/>
    <w:rsid w:val="00917F90"/>
    <w:rsid w:val="0092192C"/>
    <w:rsid w:val="00921BA4"/>
    <w:rsid w:val="00924B68"/>
    <w:rsid w:val="00925166"/>
    <w:rsid w:val="00925676"/>
    <w:rsid w:val="00925DC3"/>
    <w:rsid w:val="00930141"/>
    <w:rsid w:val="00931CD2"/>
    <w:rsid w:val="009325F6"/>
    <w:rsid w:val="00933315"/>
    <w:rsid w:val="009340F1"/>
    <w:rsid w:val="00934516"/>
    <w:rsid w:val="00936113"/>
    <w:rsid w:val="009361DF"/>
    <w:rsid w:val="00937249"/>
    <w:rsid w:val="009378A3"/>
    <w:rsid w:val="00937928"/>
    <w:rsid w:val="0093796D"/>
    <w:rsid w:val="00942C2D"/>
    <w:rsid w:val="0094364B"/>
    <w:rsid w:val="00943B0A"/>
    <w:rsid w:val="00943B0B"/>
    <w:rsid w:val="00943D0B"/>
    <w:rsid w:val="0094407A"/>
    <w:rsid w:val="00944D6E"/>
    <w:rsid w:val="00945D78"/>
    <w:rsid w:val="009500CC"/>
    <w:rsid w:val="0095115E"/>
    <w:rsid w:val="009516E1"/>
    <w:rsid w:val="00952EB4"/>
    <w:rsid w:val="0095438C"/>
    <w:rsid w:val="0095468C"/>
    <w:rsid w:val="00954D3D"/>
    <w:rsid w:val="00955617"/>
    <w:rsid w:val="00955C4A"/>
    <w:rsid w:val="00962159"/>
    <w:rsid w:val="00962BF1"/>
    <w:rsid w:val="00962E71"/>
    <w:rsid w:val="009639DF"/>
    <w:rsid w:val="00965825"/>
    <w:rsid w:val="00965E58"/>
    <w:rsid w:val="00966510"/>
    <w:rsid w:val="00966EB3"/>
    <w:rsid w:val="00967F42"/>
    <w:rsid w:val="00970560"/>
    <w:rsid w:val="00973849"/>
    <w:rsid w:val="00973D23"/>
    <w:rsid w:val="00974116"/>
    <w:rsid w:val="00974922"/>
    <w:rsid w:val="009756E5"/>
    <w:rsid w:val="00975997"/>
    <w:rsid w:val="00976023"/>
    <w:rsid w:val="009773E6"/>
    <w:rsid w:val="0098113A"/>
    <w:rsid w:val="0098195E"/>
    <w:rsid w:val="009822A2"/>
    <w:rsid w:val="009828D3"/>
    <w:rsid w:val="00982B35"/>
    <w:rsid w:val="00982DD5"/>
    <w:rsid w:val="00984387"/>
    <w:rsid w:val="009843BC"/>
    <w:rsid w:val="009845C6"/>
    <w:rsid w:val="00985650"/>
    <w:rsid w:val="00986435"/>
    <w:rsid w:val="00987BE1"/>
    <w:rsid w:val="00987FC0"/>
    <w:rsid w:val="009903B1"/>
    <w:rsid w:val="009906B9"/>
    <w:rsid w:val="00990BE6"/>
    <w:rsid w:val="009913EC"/>
    <w:rsid w:val="00993580"/>
    <w:rsid w:val="0099427A"/>
    <w:rsid w:val="00996113"/>
    <w:rsid w:val="009962FA"/>
    <w:rsid w:val="0099650F"/>
    <w:rsid w:val="0099741C"/>
    <w:rsid w:val="00997D2A"/>
    <w:rsid w:val="00997D7F"/>
    <w:rsid w:val="009A2439"/>
    <w:rsid w:val="009A3148"/>
    <w:rsid w:val="009A350D"/>
    <w:rsid w:val="009A3D3F"/>
    <w:rsid w:val="009A4C4B"/>
    <w:rsid w:val="009A5BE8"/>
    <w:rsid w:val="009A61A5"/>
    <w:rsid w:val="009B00EB"/>
    <w:rsid w:val="009B1ED5"/>
    <w:rsid w:val="009B3040"/>
    <w:rsid w:val="009B3674"/>
    <w:rsid w:val="009B3F8D"/>
    <w:rsid w:val="009B472B"/>
    <w:rsid w:val="009B5710"/>
    <w:rsid w:val="009B619B"/>
    <w:rsid w:val="009B6995"/>
    <w:rsid w:val="009B70A8"/>
    <w:rsid w:val="009B7A53"/>
    <w:rsid w:val="009C0234"/>
    <w:rsid w:val="009C16B5"/>
    <w:rsid w:val="009C35A6"/>
    <w:rsid w:val="009C4C6E"/>
    <w:rsid w:val="009C7195"/>
    <w:rsid w:val="009C71B5"/>
    <w:rsid w:val="009D0146"/>
    <w:rsid w:val="009D225A"/>
    <w:rsid w:val="009D5E51"/>
    <w:rsid w:val="009D6771"/>
    <w:rsid w:val="009D69AC"/>
    <w:rsid w:val="009E1664"/>
    <w:rsid w:val="009E2BE1"/>
    <w:rsid w:val="009E39AE"/>
    <w:rsid w:val="009E575B"/>
    <w:rsid w:val="009E5766"/>
    <w:rsid w:val="009E5CC6"/>
    <w:rsid w:val="009E7E26"/>
    <w:rsid w:val="009F0746"/>
    <w:rsid w:val="009F0A0A"/>
    <w:rsid w:val="009F177C"/>
    <w:rsid w:val="009F17F2"/>
    <w:rsid w:val="009F2C3E"/>
    <w:rsid w:val="009F4388"/>
    <w:rsid w:val="009F49C9"/>
    <w:rsid w:val="009F4A54"/>
    <w:rsid w:val="009F6762"/>
    <w:rsid w:val="009F6A6B"/>
    <w:rsid w:val="009F6BD2"/>
    <w:rsid w:val="00A0006A"/>
    <w:rsid w:val="00A00FF6"/>
    <w:rsid w:val="00A0133F"/>
    <w:rsid w:val="00A03829"/>
    <w:rsid w:val="00A03F0F"/>
    <w:rsid w:val="00A052D4"/>
    <w:rsid w:val="00A061F5"/>
    <w:rsid w:val="00A0785D"/>
    <w:rsid w:val="00A106B8"/>
    <w:rsid w:val="00A11008"/>
    <w:rsid w:val="00A11ABD"/>
    <w:rsid w:val="00A13246"/>
    <w:rsid w:val="00A13293"/>
    <w:rsid w:val="00A13675"/>
    <w:rsid w:val="00A13712"/>
    <w:rsid w:val="00A151EB"/>
    <w:rsid w:val="00A2084F"/>
    <w:rsid w:val="00A20995"/>
    <w:rsid w:val="00A21EC1"/>
    <w:rsid w:val="00A2332F"/>
    <w:rsid w:val="00A265FF"/>
    <w:rsid w:val="00A273B9"/>
    <w:rsid w:val="00A27868"/>
    <w:rsid w:val="00A27DCC"/>
    <w:rsid w:val="00A30857"/>
    <w:rsid w:val="00A33929"/>
    <w:rsid w:val="00A33F2E"/>
    <w:rsid w:val="00A34BE2"/>
    <w:rsid w:val="00A37C33"/>
    <w:rsid w:val="00A41BAD"/>
    <w:rsid w:val="00A42BF6"/>
    <w:rsid w:val="00A42E19"/>
    <w:rsid w:val="00A4481F"/>
    <w:rsid w:val="00A4570B"/>
    <w:rsid w:val="00A45AF0"/>
    <w:rsid w:val="00A4785A"/>
    <w:rsid w:val="00A47D8C"/>
    <w:rsid w:val="00A50F5B"/>
    <w:rsid w:val="00A53374"/>
    <w:rsid w:val="00A53F38"/>
    <w:rsid w:val="00A54113"/>
    <w:rsid w:val="00A55797"/>
    <w:rsid w:val="00A55CFA"/>
    <w:rsid w:val="00A562EC"/>
    <w:rsid w:val="00A57700"/>
    <w:rsid w:val="00A61420"/>
    <w:rsid w:val="00A6161C"/>
    <w:rsid w:val="00A621B4"/>
    <w:rsid w:val="00A624B9"/>
    <w:rsid w:val="00A62DD1"/>
    <w:rsid w:val="00A64132"/>
    <w:rsid w:val="00A64956"/>
    <w:rsid w:val="00A649AB"/>
    <w:rsid w:val="00A64E32"/>
    <w:rsid w:val="00A650C0"/>
    <w:rsid w:val="00A65439"/>
    <w:rsid w:val="00A657AB"/>
    <w:rsid w:val="00A6674F"/>
    <w:rsid w:val="00A671C3"/>
    <w:rsid w:val="00A704E0"/>
    <w:rsid w:val="00A72150"/>
    <w:rsid w:val="00A7313A"/>
    <w:rsid w:val="00A733D7"/>
    <w:rsid w:val="00A7672F"/>
    <w:rsid w:val="00A768D7"/>
    <w:rsid w:val="00A76C5C"/>
    <w:rsid w:val="00A8099C"/>
    <w:rsid w:val="00A827F2"/>
    <w:rsid w:val="00A831FE"/>
    <w:rsid w:val="00A843C3"/>
    <w:rsid w:val="00A85A37"/>
    <w:rsid w:val="00A85EEE"/>
    <w:rsid w:val="00A86C68"/>
    <w:rsid w:val="00A87AF9"/>
    <w:rsid w:val="00A87CC4"/>
    <w:rsid w:val="00A901DF"/>
    <w:rsid w:val="00A90628"/>
    <w:rsid w:val="00A90A10"/>
    <w:rsid w:val="00A90BB9"/>
    <w:rsid w:val="00A90D28"/>
    <w:rsid w:val="00A948C5"/>
    <w:rsid w:val="00A9562B"/>
    <w:rsid w:val="00A96191"/>
    <w:rsid w:val="00A96BB9"/>
    <w:rsid w:val="00AA0B2F"/>
    <w:rsid w:val="00AA2D24"/>
    <w:rsid w:val="00AA3166"/>
    <w:rsid w:val="00AA33D6"/>
    <w:rsid w:val="00AA40DF"/>
    <w:rsid w:val="00AA4909"/>
    <w:rsid w:val="00AA525C"/>
    <w:rsid w:val="00AA5520"/>
    <w:rsid w:val="00AA65E2"/>
    <w:rsid w:val="00AA6EA8"/>
    <w:rsid w:val="00AA746E"/>
    <w:rsid w:val="00AA7629"/>
    <w:rsid w:val="00AA785D"/>
    <w:rsid w:val="00AA7F6D"/>
    <w:rsid w:val="00AB1F4C"/>
    <w:rsid w:val="00AB2028"/>
    <w:rsid w:val="00AB25CC"/>
    <w:rsid w:val="00AB3961"/>
    <w:rsid w:val="00AB39EA"/>
    <w:rsid w:val="00AB43BE"/>
    <w:rsid w:val="00AB4E8D"/>
    <w:rsid w:val="00AB514D"/>
    <w:rsid w:val="00AB6391"/>
    <w:rsid w:val="00AC0E2D"/>
    <w:rsid w:val="00AC21C4"/>
    <w:rsid w:val="00AC220B"/>
    <w:rsid w:val="00AC2BE4"/>
    <w:rsid w:val="00AC4363"/>
    <w:rsid w:val="00AC749A"/>
    <w:rsid w:val="00AC7500"/>
    <w:rsid w:val="00AC7CA6"/>
    <w:rsid w:val="00AC7CF2"/>
    <w:rsid w:val="00AD1004"/>
    <w:rsid w:val="00AD16B9"/>
    <w:rsid w:val="00AD2807"/>
    <w:rsid w:val="00AD5C06"/>
    <w:rsid w:val="00AD7DD9"/>
    <w:rsid w:val="00AE03B9"/>
    <w:rsid w:val="00AE1DDB"/>
    <w:rsid w:val="00AE4B49"/>
    <w:rsid w:val="00AE5451"/>
    <w:rsid w:val="00AE6411"/>
    <w:rsid w:val="00AE7248"/>
    <w:rsid w:val="00AF01EB"/>
    <w:rsid w:val="00AF3018"/>
    <w:rsid w:val="00B00822"/>
    <w:rsid w:val="00B01520"/>
    <w:rsid w:val="00B02E9A"/>
    <w:rsid w:val="00B033D3"/>
    <w:rsid w:val="00B03CB8"/>
    <w:rsid w:val="00B04CB3"/>
    <w:rsid w:val="00B05C95"/>
    <w:rsid w:val="00B062A8"/>
    <w:rsid w:val="00B06502"/>
    <w:rsid w:val="00B06826"/>
    <w:rsid w:val="00B06945"/>
    <w:rsid w:val="00B07145"/>
    <w:rsid w:val="00B0791B"/>
    <w:rsid w:val="00B07DB6"/>
    <w:rsid w:val="00B1101C"/>
    <w:rsid w:val="00B11ACC"/>
    <w:rsid w:val="00B167AE"/>
    <w:rsid w:val="00B1718F"/>
    <w:rsid w:val="00B2090A"/>
    <w:rsid w:val="00B20F0F"/>
    <w:rsid w:val="00B21157"/>
    <w:rsid w:val="00B2182F"/>
    <w:rsid w:val="00B22165"/>
    <w:rsid w:val="00B2287B"/>
    <w:rsid w:val="00B23171"/>
    <w:rsid w:val="00B246DA"/>
    <w:rsid w:val="00B26446"/>
    <w:rsid w:val="00B26768"/>
    <w:rsid w:val="00B3063B"/>
    <w:rsid w:val="00B3116D"/>
    <w:rsid w:val="00B314EA"/>
    <w:rsid w:val="00B35400"/>
    <w:rsid w:val="00B37EE4"/>
    <w:rsid w:val="00B4024E"/>
    <w:rsid w:val="00B42BA9"/>
    <w:rsid w:val="00B435FA"/>
    <w:rsid w:val="00B44190"/>
    <w:rsid w:val="00B465B7"/>
    <w:rsid w:val="00B507C3"/>
    <w:rsid w:val="00B5123C"/>
    <w:rsid w:val="00B51EE7"/>
    <w:rsid w:val="00B523FE"/>
    <w:rsid w:val="00B542F5"/>
    <w:rsid w:val="00B546CD"/>
    <w:rsid w:val="00B551BF"/>
    <w:rsid w:val="00B55771"/>
    <w:rsid w:val="00B56D4E"/>
    <w:rsid w:val="00B57C6D"/>
    <w:rsid w:val="00B601AC"/>
    <w:rsid w:val="00B60885"/>
    <w:rsid w:val="00B62141"/>
    <w:rsid w:val="00B63635"/>
    <w:rsid w:val="00B63E6A"/>
    <w:rsid w:val="00B648BD"/>
    <w:rsid w:val="00B66E35"/>
    <w:rsid w:val="00B66F93"/>
    <w:rsid w:val="00B67AFF"/>
    <w:rsid w:val="00B67E86"/>
    <w:rsid w:val="00B70646"/>
    <w:rsid w:val="00B709CB"/>
    <w:rsid w:val="00B710FC"/>
    <w:rsid w:val="00B71213"/>
    <w:rsid w:val="00B714AE"/>
    <w:rsid w:val="00B735FC"/>
    <w:rsid w:val="00B736C8"/>
    <w:rsid w:val="00B7370F"/>
    <w:rsid w:val="00B740AE"/>
    <w:rsid w:val="00B755F3"/>
    <w:rsid w:val="00B75D96"/>
    <w:rsid w:val="00B761CB"/>
    <w:rsid w:val="00B76393"/>
    <w:rsid w:val="00B775E2"/>
    <w:rsid w:val="00B80CE1"/>
    <w:rsid w:val="00B815B0"/>
    <w:rsid w:val="00B83F40"/>
    <w:rsid w:val="00B84548"/>
    <w:rsid w:val="00B856F8"/>
    <w:rsid w:val="00B85C56"/>
    <w:rsid w:val="00B863E2"/>
    <w:rsid w:val="00B87162"/>
    <w:rsid w:val="00B8729C"/>
    <w:rsid w:val="00B922C5"/>
    <w:rsid w:val="00B939AF"/>
    <w:rsid w:val="00B94758"/>
    <w:rsid w:val="00B95BE1"/>
    <w:rsid w:val="00B961D9"/>
    <w:rsid w:val="00B96B48"/>
    <w:rsid w:val="00B96B4E"/>
    <w:rsid w:val="00B97A21"/>
    <w:rsid w:val="00BA014C"/>
    <w:rsid w:val="00BA0572"/>
    <w:rsid w:val="00BA0930"/>
    <w:rsid w:val="00BA0989"/>
    <w:rsid w:val="00BA0B9D"/>
    <w:rsid w:val="00BA1083"/>
    <w:rsid w:val="00BA16F8"/>
    <w:rsid w:val="00BA1EC3"/>
    <w:rsid w:val="00BA30E9"/>
    <w:rsid w:val="00BA3ADB"/>
    <w:rsid w:val="00BA54AC"/>
    <w:rsid w:val="00BA6842"/>
    <w:rsid w:val="00BB002F"/>
    <w:rsid w:val="00BB017F"/>
    <w:rsid w:val="00BB01F9"/>
    <w:rsid w:val="00BB081D"/>
    <w:rsid w:val="00BB0C99"/>
    <w:rsid w:val="00BB2579"/>
    <w:rsid w:val="00BB28F2"/>
    <w:rsid w:val="00BB35FB"/>
    <w:rsid w:val="00BB460C"/>
    <w:rsid w:val="00BB48B4"/>
    <w:rsid w:val="00BB4DE1"/>
    <w:rsid w:val="00BB558E"/>
    <w:rsid w:val="00BC0756"/>
    <w:rsid w:val="00BC0AF1"/>
    <w:rsid w:val="00BC1861"/>
    <w:rsid w:val="00BC1AEC"/>
    <w:rsid w:val="00BC2272"/>
    <w:rsid w:val="00BC2A21"/>
    <w:rsid w:val="00BC3774"/>
    <w:rsid w:val="00BC695C"/>
    <w:rsid w:val="00BC6CD8"/>
    <w:rsid w:val="00BC7673"/>
    <w:rsid w:val="00BC79DD"/>
    <w:rsid w:val="00BD00AC"/>
    <w:rsid w:val="00BD078D"/>
    <w:rsid w:val="00BD1C1A"/>
    <w:rsid w:val="00BD33CC"/>
    <w:rsid w:val="00BD3619"/>
    <w:rsid w:val="00BD6FA1"/>
    <w:rsid w:val="00BE40FA"/>
    <w:rsid w:val="00BE4344"/>
    <w:rsid w:val="00BE43F3"/>
    <w:rsid w:val="00BE44C5"/>
    <w:rsid w:val="00BE51DB"/>
    <w:rsid w:val="00BE547F"/>
    <w:rsid w:val="00BE629F"/>
    <w:rsid w:val="00BE6B0C"/>
    <w:rsid w:val="00BE7657"/>
    <w:rsid w:val="00BE7B5A"/>
    <w:rsid w:val="00BF261C"/>
    <w:rsid w:val="00BF2665"/>
    <w:rsid w:val="00BF454B"/>
    <w:rsid w:val="00BF4F12"/>
    <w:rsid w:val="00BF67F5"/>
    <w:rsid w:val="00BF726C"/>
    <w:rsid w:val="00BF786B"/>
    <w:rsid w:val="00C01AD2"/>
    <w:rsid w:val="00C0294C"/>
    <w:rsid w:val="00C02CD5"/>
    <w:rsid w:val="00C0512A"/>
    <w:rsid w:val="00C05227"/>
    <w:rsid w:val="00C06662"/>
    <w:rsid w:val="00C0782C"/>
    <w:rsid w:val="00C1371B"/>
    <w:rsid w:val="00C13A48"/>
    <w:rsid w:val="00C146BA"/>
    <w:rsid w:val="00C14A42"/>
    <w:rsid w:val="00C15C13"/>
    <w:rsid w:val="00C16803"/>
    <w:rsid w:val="00C20F41"/>
    <w:rsid w:val="00C22D33"/>
    <w:rsid w:val="00C2338F"/>
    <w:rsid w:val="00C24AA4"/>
    <w:rsid w:val="00C2579F"/>
    <w:rsid w:val="00C26BB7"/>
    <w:rsid w:val="00C30FBA"/>
    <w:rsid w:val="00C3148D"/>
    <w:rsid w:val="00C32682"/>
    <w:rsid w:val="00C32A3E"/>
    <w:rsid w:val="00C35690"/>
    <w:rsid w:val="00C372FB"/>
    <w:rsid w:val="00C4508B"/>
    <w:rsid w:val="00C472B4"/>
    <w:rsid w:val="00C50158"/>
    <w:rsid w:val="00C50269"/>
    <w:rsid w:val="00C507C4"/>
    <w:rsid w:val="00C50879"/>
    <w:rsid w:val="00C519CE"/>
    <w:rsid w:val="00C530E0"/>
    <w:rsid w:val="00C54A5C"/>
    <w:rsid w:val="00C56BD0"/>
    <w:rsid w:val="00C57D5F"/>
    <w:rsid w:val="00C57D93"/>
    <w:rsid w:val="00C60562"/>
    <w:rsid w:val="00C60ACC"/>
    <w:rsid w:val="00C642AA"/>
    <w:rsid w:val="00C644B5"/>
    <w:rsid w:val="00C647A9"/>
    <w:rsid w:val="00C66445"/>
    <w:rsid w:val="00C66DBE"/>
    <w:rsid w:val="00C6741F"/>
    <w:rsid w:val="00C709D6"/>
    <w:rsid w:val="00C70E2B"/>
    <w:rsid w:val="00C716C2"/>
    <w:rsid w:val="00C72FC6"/>
    <w:rsid w:val="00C72FE3"/>
    <w:rsid w:val="00C7452D"/>
    <w:rsid w:val="00C7556C"/>
    <w:rsid w:val="00C76697"/>
    <w:rsid w:val="00C77CDA"/>
    <w:rsid w:val="00C80AD6"/>
    <w:rsid w:val="00C8238E"/>
    <w:rsid w:val="00C827B9"/>
    <w:rsid w:val="00C84151"/>
    <w:rsid w:val="00C8518E"/>
    <w:rsid w:val="00C8544C"/>
    <w:rsid w:val="00C87510"/>
    <w:rsid w:val="00C91358"/>
    <w:rsid w:val="00C9172A"/>
    <w:rsid w:val="00C9218D"/>
    <w:rsid w:val="00C93BAF"/>
    <w:rsid w:val="00C93E90"/>
    <w:rsid w:val="00C94DC6"/>
    <w:rsid w:val="00C962B5"/>
    <w:rsid w:val="00C974CD"/>
    <w:rsid w:val="00CA29E7"/>
    <w:rsid w:val="00CA2C94"/>
    <w:rsid w:val="00CA4312"/>
    <w:rsid w:val="00CA470C"/>
    <w:rsid w:val="00CA4E8B"/>
    <w:rsid w:val="00CA4F05"/>
    <w:rsid w:val="00CA4F1B"/>
    <w:rsid w:val="00CA5257"/>
    <w:rsid w:val="00CB31BB"/>
    <w:rsid w:val="00CB3C97"/>
    <w:rsid w:val="00CB3F3F"/>
    <w:rsid w:val="00CB5153"/>
    <w:rsid w:val="00CB632D"/>
    <w:rsid w:val="00CB63ED"/>
    <w:rsid w:val="00CB6D8B"/>
    <w:rsid w:val="00CB7968"/>
    <w:rsid w:val="00CB7F0A"/>
    <w:rsid w:val="00CC07B1"/>
    <w:rsid w:val="00CC0BAD"/>
    <w:rsid w:val="00CC0FB0"/>
    <w:rsid w:val="00CC2E3F"/>
    <w:rsid w:val="00CC36B9"/>
    <w:rsid w:val="00CC36D6"/>
    <w:rsid w:val="00CC39E2"/>
    <w:rsid w:val="00CC4FE4"/>
    <w:rsid w:val="00CC52A8"/>
    <w:rsid w:val="00CC543B"/>
    <w:rsid w:val="00CC5B36"/>
    <w:rsid w:val="00CC6FB7"/>
    <w:rsid w:val="00CC762C"/>
    <w:rsid w:val="00CD1A19"/>
    <w:rsid w:val="00CD1A69"/>
    <w:rsid w:val="00CD409F"/>
    <w:rsid w:val="00CD63C4"/>
    <w:rsid w:val="00CD765D"/>
    <w:rsid w:val="00CE0828"/>
    <w:rsid w:val="00CE239B"/>
    <w:rsid w:val="00CE427E"/>
    <w:rsid w:val="00CE4388"/>
    <w:rsid w:val="00CE4E77"/>
    <w:rsid w:val="00CE4FC9"/>
    <w:rsid w:val="00CE521F"/>
    <w:rsid w:val="00CE7E5F"/>
    <w:rsid w:val="00CE7F40"/>
    <w:rsid w:val="00CF0F2F"/>
    <w:rsid w:val="00CF17A9"/>
    <w:rsid w:val="00CF5078"/>
    <w:rsid w:val="00CF631B"/>
    <w:rsid w:val="00CF7385"/>
    <w:rsid w:val="00D00619"/>
    <w:rsid w:val="00D01C52"/>
    <w:rsid w:val="00D02658"/>
    <w:rsid w:val="00D02E74"/>
    <w:rsid w:val="00D0313E"/>
    <w:rsid w:val="00D0576A"/>
    <w:rsid w:val="00D05BA2"/>
    <w:rsid w:val="00D115AF"/>
    <w:rsid w:val="00D12081"/>
    <w:rsid w:val="00D12274"/>
    <w:rsid w:val="00D12C04"/>
    <w:rsid w:val="00D13161"/>
    <w:rsid w:val="00D148FD"/>
    <w:rsid w:val="00D14E26"/>
    <w:rsid w:val="00D14F73"/>
    <w:rsid w:val="00D151BF"/>
    <w:rsid w:val="00D158F2"/>
    <w:rsid w:val="00D16F94"/>
    <w:rsid w:val="00D17AFA"/>
    <w:rsid w:val="00D217B9"/>
    <w:rsid w:val="00D21D0F"/>
    <w:rsid w:val="00D22368"/>
    <w:rsid w:val="00D22BFA"/>
    <w:rsid w:val="00D24064"/>
    <w:rsid w:val="00D25D91"/>
    <w:rsid w:val="00D26072"/>
    <w:rsid w:val="00D26251"/>
    <w:rsid w:val="00D272CC"/>
    <w:rsid w:val="00D27335"/>
    <w:rsid w:val="00D2751E"/>
    <w:rsid w:val="00D27803"/>
    <w:rsid w:val="00D27C39"/>
    <w:rsid w:val="00D303E0"/>
    <w:rsid w:val="00D304E1"/>
    <w:rsid w:val="00D30FA6"/>
    <w:rsid w:val="00D31115"/>
    <w:rsid w:val="00D3138D"/>
    <w:rsid w:val="00D32489"/>
    <w:rsid w:val="00D33279"/>
    <w:rsid w:val="00D349D3"/>
    <w:rsid w:val="00D34F34"/>
    <w:rsid w:val="00D34F9A"/>
    <w:rsid w:val="00D3563E"/>
    <w:rsid w:val="00D36F1F"/>
    <w:rsid w:val="00D37574"/>
    <w:rsid w:val="00D404B7"/>
    <w:rsid w:val="00D40F22"/>
    <w:rsid w:val="00D41D35"/>
    <w:rsid w:val="00D43220"/>
    <w:rsid w:val="00D44AB8"/>
    <w:rsid w:val="00D45767"/>
    <w:rsid w:val="00D47729"/>
    <w:rsid w:val="00D5322C"/>
    <w:rsid w:val="00D536E1"/>
    <w:rsid w:val="00D572FC"/>
    <w:rsid w:val="00D57D16"/>
    <w:rsid w:val="00D60FF6"/>
    <w:rsid w:val="00D613BC"/>
    <w:rsid w:val="00D615ED"/>
    <w:rsid w:val="00D622A1"/>
    <w:rsid w:val="00D62F6C"/>
    <w:rsid w:val="00D64590"/>
    <w:rsid w:val="00D67B3B"/>
    <w:rsid w:val="00D70190"/>
    <w:rsid w:val="00D71A63"/>
    <w:rsid w:val="00D72981"/>
    <w:rsid w:val="00D74000"/>
    <w:rsid w:val="00D7444B"/>
    <w:rsid w:val="00D76758"/>
    <w:rsid w:val="00D80164"/>
    <w:rsid w:val="00D80634"/>
    <w:rsid w:val="00D817A4"/>
    <w:rsid w:val="00D829D9"/>
    <w:rsid w:val="00D84C55"/>
    <w:rsid w:val="00D85E05"/>
    <w:rsid w:val="00D86700"/>
    <w:rsid w:val="00D869FF"/>
    <w:rsid w:val="00D90FCE"/>
    <w:rsid w:val="00D91841"/>
    <w:rsid w:val="00D954D6"/>
    <w:rsid w:val="00D957F3"/>
    <w:rsid w:val="00D95D7C"/>
    <w:rsid w:val="00D96BD2"/>
    <w:rsid w:val="00D96C37"/>
    <w:rsid w:val="00DA0128"/>
    <w:rsid w:val="00DA1D8A"/>
    <w:rsid w:val="00DA24B9"/>
    <w:rsid w:val="00DA2747"/>
    <w:rsid w:val="00DA2CAD"/>
    <w:rsid w:val="00DA3648"/>
    <w:rsid w:val="00DA3EF8"/>
    <w:rsid w:val="00DA481B"/>
    <w:rsid w:val="00DA548F"/>
    <w:rsid w:val="00DA6549"/>
    <w:rsid w:val="00DA6B44"/>
    <w:rsid w:val="00DA7728"/>
    <w:rsid w:val="00DB11FB"/>
    <w:rsid w:val="00DB19E4"/>
    <w:rsid w:val="00DB2443"/>
    <w:rsid w:val="00DB4627"/>
    <w:rsid w:val="00DB4A9F"/>
    <w:rsid w:val="00DB4B70"/>
    <w:rsid w:val="00DB567A"/>
    <w:rsid w:val="00DB6DA5"/>
    <w:rsid w:val="00DB6F77"/>
    <w:rsid w:val="00DB7260"/>
    <w:rsid w:val="00DC086F"/>
    <w:rsid w:val="00DC2775"/>
    <w:rsid w:val="00DC33B8"/>
    <w:rsid w:val="00DC5A18"/>
    <w:rsid w:val="00DC5A6E"/>
    <w:rsid w:val="00DC712D"/>
    <w:rsid w:val="00DC7693"/>
    <w:rsid w:val="00DC7777"/>
    <w:rsid w:val="00DD2BEB"/>
    <w:rsid w:val="00DD58B1"/>
    <w:rsid w:val="00DD72C4"/>
    <w:rsid w:val="00DD7DC2"/>
    <w:rsid w:val="00DE0E2D"/>
    <w:rsid w:val="00DE1362"/>
    <w:rsid w:val="00DE187A"/>
    <w:rsid w:val="00DE1AA4"/>
    <w:rsid w:val="00DE208C"/>
    <w:rsid w:val="00DE22D7"/>
    <w:rsid w:val="00DE2482"/>
    <w:rsid w:val="00DE2B1C"/>
    <w:rsid w:val="00DE4161"/>
    <w:rsid w:val="00DE420D"/>
    <w:rsid w:val="00DE4443"/>
    <w:rsid w:val="00DE4CC4"/>
    <w:rsid w:val="00DE7315"/>
    <w:rsid w:val="00DE75AE"/>
    <w:rsid w:val="00DF063E"/>
    <w:rsid w:val="00DF0C1C"/>
    <w:rsid w:val="00DF154D"/>
    <w:rsid w:val="00DF4C7F"/>
    <w:rsid w:val="00DF5931"/>
    <w:rsid w:val="00DF61B7"/>
    <w:rsid w:val="00DF6556"/>
    <w:rsid w:val="00E02FFC"/>
    <w:rsid w:val="00E03F10"/>
    <w:rsid w:val="00E06B73"/>
    <w:rsid w:val="00E104C9"/>
    <w:rsid w:val="00E11688"/>
    <w:rsid w:val="00E1445B"/>
    <w:rsid w:val="00E15060"/>
    <w:rsid w:val="00E15472"/>
    <w:rsid w:val="00E15A61"/>
    <w:rsid w:val="00E16EC9"/>
    <w:rsid w:val="00E171CB"/>
    <w:rsid w:val="00E202BD"/>
    <w:rsid w:val="00E2043A"/>
    <w:rsid w:val="00E2090E"/>
    <w:rsid w:val="00E20C8A"/>
    <w:rsid w:val="00E20FCC"/>
    <w:rsid w:val="00E2574B"/>
    <w:rsid w:val="00E25A97"/>
    <w:rsid w:val="00E26CD1"/>
    <w:rsid w:val="00E2743E"/>
    <w:rsid w:val="00E31117"/>
    <w:rsid w:val="00E312A2"/>
    <w:rsid w:val="00E3141F"/>
    <w:rsid w:val="00E32033"/>
    <w:rsid w:val="00E32311"/>
    <w:rsid w:val="00E32AB1"/>
    <w:rsid w:val="00E34296"/>
    <w:rsid w:val="00E3447C"/>
    <w:rsid w:val="00E358E0"/>
    <w:rsid w:val="00E358FB"/>
    <w:rsid w:val="00E42908"/>
    <w:rsid w:val="00E42DE4"/>
    <w:rsid w:val="00E447E5"/>
    <w:rsid w:val="00E4481F"/>
    <w:rsid w:val="00E4498C"/>
    <w:rsid w:val="00E44AAF"/>
    <w:rsid w:val="00E4504B"/>
    <w:rsid w:val="00E45425"/>
    <w:rsid w:val="00E47974"/>
    <w:rsid w:val="00E55494"/>
    <w:rsid w:val="00E56C00"/>
    <w:rsid w:val="00E57807"/>
    <w:rsid w:val="00E6131E"/>
    <w:rsid w:val="00E61B47"/>
    <w:rsid w:val="00E62545"/>
    <w:rsid w:val="00E63381"/>
    <w:rsid w:val="00E635DA"/>
    <w:rsid w:val="00E6383B"/>
    <w:rsid w:val="00E65B75"/>
    <w:rsid w:val="00E65E02"/>
    <w:rsid w:val="00E669BC"/>
    <w:rsid w:val="00E66D18"/>
    <w:rsid w:val="00E70E74"/>
    <w:rsid w:val="00E724EA"/>
    <w:rsid w:val="00E72626"/>
    <w:rsid w:val="00E72B7A"/>
    <w:rsid w:val="00E730D9"/>
    <w:rsid w:val="00E74951"/>
    <w:rsid w:val="00E75C2D"/>
    <w:rsid w:val="00E7656E"/>
    <w:rsid w:val="00E7718E"/>
    <w:rsid w:val="00E81026"/>
    <w:rsid w:val="00E81651"/>
    <w:rsid w:val="00E82C93"/>
    <w:rsid w:val="00E82D1A"/>
    <w:rsid w:val="00E837E6"/>
    <w:rsid w:val="00E84299"/>
    <w:rsid w:val="00E8753C"/>
    <w:rsid w:val="00E875B8"/>
    <w:rsid w:val="00E87FCD"/>
    <w:rsid w:val="00E90153"/>
    <w:rsid w:val="00E9035B"/>
    <w:rsid w:val="00E907B2"/>
    <w:rsid w:val="00E95912"/>
    <w:rsid w:val="00E95FB2"/>
    <w:rsid w:val="00E95FCB"/>
    <w:rsid w:val="00E96F8B"/>
    <w:rsid w:val="00E9788E"/>
    <w:rsid w:val="00E97A81"/>
    <w:rsid w:val="00E97C1F"/>
    <w:rsid w:val="00E97C28"/>
    <w:rsid w:val="00EA091D"/>
    <w:rsid w:val="00EA0CC6"/>
    <w:rsid w:val="00EA1CEA"/>
    <w:rsid w:val="00EA2DEF"/>
    <w:rsid w:val="00EA30C4"/>
    <w:rsid w:val="00EA365C"/>
    <w:rsid w:val="00EA4A00"/>
    <w:rsid w:val="00EA59F6"/>
    <w:rsid w:val="00EA73BE"/>
    <w:rsid w:val="00EA7B43"/>
    <w:rsid w:val="00EB11D0"/>
    <w:rsid w:val="00EB20E8"/>
    <w:rsid w:val="00EB2A33"/>
    <w:rsid w:val="00EB3BA9"/>
    <w:rsid w:val="00EB3BF8"/>
    <w:rsid w:val="00EB4C5C"/>
    <w:rsid w:val="00EB5514"/>
    <w:rsid w:val="00EB5B41"/>
    <w:rsid w:val="00EB6DC9"/>
    <w:rsid w:val="00EB7087"/>
    <w:rsid w:val="00EB7578"/>
    <w:rsid w:val="00EB7E26"/>
    <w:rsid w:val="00EC0088"/>
    <w:rsid w:val="00EC4210"/>
    <w:rsid w:val="00EC428B"/>
    <w:rsid w:val="00EC44AE"/>
    <w:rsid w:val="00EC7F91"/>
    <w:rsid w:val="00ED0CB1"/>
    <w:rsid w:val="00ED1148"/>
    <w:rsid w:val="00ED12C7"/>
    <w:rsid w:val="00ED1B47"/>
    <w:rsid w:val="00ED21B1"/>
    <w:rsid w:val="00ED3B5D"/>
    <w:rsid w:val="00ED648E"/>
    <w:rsid w:val="00ED6DDE"/>
    <w:rsid w:val="00ED7F15"/>
    <w:rsid w:val="00EE3635"/>
    <w:rsid w:val="00EE36DF"/>
    <w:rsid w:val="00EE3A41"/>
    <w:rsid w:val="00EE478D"/>
    <w:rsid w:val="00EE555E"/>
    <w:rsid w:val="00EF3928"/>
    <w:rsid w:val="00EF4F80"/>
    <w:rsid w:val="00EF50AC"/>
    <w:rsid w:val="00EF6424"/>
    <w:rsid w:val="00EF753D"/>
    <w:rsid w:val="00F0001E"/>
    <w:rsid w:val="00F00E7C"/>
    <w:rsid w:val="00F017EC"/>
    <w:rsid w:val="00F01BA4"/>
    <w:rsid w:val="00F02A35"/>
    <w:rsid w:val="00F02D06"/>
    <w:rsid w:val="00F0314E"/>
    <w:rsid w:val="00F0330E"/>
    <w:rsid w:val="00F03D69"/>
    <w:rsid w:val="00F0523D"/>
    <w:rsid w:val="00F05A03"/>
    <w:rsid w:val="00F079FD"/>
    <w:rsid w:val="00F07AC6"/>
    <w:rsid w:val="00F07EA9"/>
    <w:rsid w:val="00F11E01"/>
    <w:rsid w:val="00F1262C"/>
    <w:rsid w:val="00F140A3"/>
    <w:rsid w:val="00F162A7"/>
    <w:rsid w:val="00F1738B"/>
    <w:rsid w:val="00F202FA"/>
    <w:rsid w:val="00F21A87"/>
    <w:rsid w:val="00F22E95"/>
    <w:rsid w:val="00F242DC"/>
    <w:rsid w:val="00F25CC3"/>
    <w:rsid w:val="00F26068"/>
    <w:rsid w:val="00F272A5"/>
    <w:rsid w:val="00F32713"/>
    <w:rsid w:val="00F3411F"/>
    <w:rsid w:val="00F3627E"/>
    <w:rsid w:val="00F3635F"/>
    <w:rsid w:val="00F365CC"/>
    <w:rsid w:val="00F36B4F"/>
    <w:rsid w:val="00F377EF"/>
    <w:rsid w:val="00F40351"/>
    <w:rsid w:val="00F417A5"/>
    <w:rsid w:val="00F426EC"/>
    <w:rsid w:val="00F42C28"/>
    <w:rsid w:val="00F43716"/>
    <w:rsid w:val="00F44970"/>
    <w:rsid w:val="00F46307"/>
    <w:rsid w:val="00F46C3D"/>
    <w:rsid w:val="00F50650"/>
    <w:rsid w:val="00F52576"/>
    <w:rsid w:val="00F52DD4"/>
    <w:rsid w:val="00F541DD"/>
    <w:rsid w:val="00F54A6E"/>
    <w:rsid w:val="00F55164"/>
    <w:rsid w:val="00F55D9C"/>
    <w:rsid w:val="00F56438"/>
    <w:rsid w:val="00F56B89"/>
    <w:rsid w:val="00F5710A"/>
    <w:rsid w:val="00F60CD0"/>
    <w:rsid w:val="00F611AC"/>
    <w:rsid w:val="00F614CC"/>
    <w:rsid w:val="00F6224A"/>
    <w:rsid w:val="00F64951"/>
    <w:rsid w:val="00F64E20"/>
    <w:rsid w:val="00F71415"/>
    <w:rsid w:val="00F71DFF"/>
    <w:rsid w:val="00F739A7"/>
    <w:rsid w:val="00F750D7"/>
    <w:rsid w:val="00F76090"/>
    <w:rsid w:val="00F774C5"/>
    <w:rsid w:val="00F80127"/>
    <w:rsid w:val="00F80D82"/>
    <w:rsid w:val="00F829E8"/>
    <w:rsid w:val="00F8434A"/>
    <w:rsid w:val="00F85438"/>
    <w:rsid w:val="00F86911"/>
    <w:rsid w:val="00F873F1"/>
    <w:rsid w:val="00F90B0E"/>
    <w:rsid w:val="00F91A39"/>
    <w:rsid w:val="00F92E34"/>
    <w:rsid w:val="00F95D8B"/>
    <w:rsid w:val="00F95EC5"/>
    <w:rsid w:val="00F96344"/>
    <w:rsid w:val="00FA02BF"/>
    <w:rsid w:val="00FA057E"/>
    <w:rsid w:val="00FA177A"/>
    <w:rsid w:val="00FA1A62"/>
    <w:rsid w:val="00FA1CDF"/>
    <w:rsid w:val="00FA4652"/>
    <w:rsid w:val="00FA5A26"/>
    <w:rsid w:val="00FA5A4D"/>
    <w:rsid w:val="00FA7DDC"/>
    <w:rsid w:val="00FB02C3"/>
    <w:rsid w:val="00FB06D4"/>
    <w:rsid w:val="00FB0785"/>
    <w:rsid w:val="00FB1FF9"/>
    <w:rsid w:val="00FB2104"/>
    <w:rsid w:val="00FB2B5F"/>
    <w:rsid w:val="00FB2F7C"/>
    <w:rsid w:val="00FB2FFC"/>
    <w:rsid w:val="00FB3295"/>
    <w:rsid w:val="00FB390D"/>
    <w:rsid w:val="00FB3AAB"/>
    <w:rsid w:val="00FB4DD6"/>
    <w:rsid w:val="00FB6275"/>
    <w:rsid w:val="00FB635A"/>
    <w:rsid w:val="00FB6A66"/>
    <w:rsid w:val="00FC02D3"/>
    <w:rsid w:val="00FC0AC8"/>
    <w:rsid w:val="00FC25FD"/>
    <w:rsid w:val="00FC2EBB"/>
    <w:rsid w:val="00FC2F97"/>
    <w:rsid w:val="00FD0347"/>
    <w:rsid w:val="00FD13CB"/>
    <w:rsid w:val="00FD1669"/>
    <w:rsid w:val="00FD1929"/>
    <w:rsid w:val="00FD4093"/>
    <w:rsid w:val="00FD441E"/>
    <w:rsid w:val="00FD4A17"/>
    <w:rsid w:val="00FD6CE3"/>
    <w:rsid w:val="00FD6D88"/>
    <w:rsid w:val="00FD7CD2"/>
    <w:rsid w:val="00FE006A"/>
    <w:rsid w:val="00FE1B47"/>
    <w:rsid w:val="00FE1C78"/>
    <w:rsid w:val="00FE2770"/>
    <w:rsid w:val="00FE4D57"/>
    <w:rsid w:val="00FE6C1A"/>
    <w:rsid w:val="00FF1A9C"/>
    <w:rsid w:val="00FF227E"/>
    <w:rsid w:val="00FF3061"/>
    <w:rsid w:val="00FF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E8FD"/>
  <w15:chartTrackingRefBased/>
  <w15:docId w15:val="{46B14DD2-0503-489C-BACF-EBAB65F21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C40"/>
  </w:style>
  <w:style w:type="paragraph" w:styleId="Heading1">
    <w:name w:val="heading 1"/>
    <w:basedOn w:val="Normal"/>
    <w:next w:val="Normal"/>
    <w:link w:val="Heading1Char"/>
    <w:uiPriority w:val="9"/>
    <w:qFormat/>
    <w:rsid w:val="00FB2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B5F"/>
    <w:rPr>
      <w:rFonts w:eastAsiaTheme="majorEastAsia" w:cstheme="majorBidi"/>
      <w:color w:val="272727" w:themeColor="text1" w:themeTint="D8"/>
    </w:rPr>
  </w:style>
  <w:style w:type="paragraph" w:styleId="Title">
    <w:name w:val="Title"/>
    <w:basedOn w:val="Normal"/>
    <w:next w:val="Normal"/>
    <w:link w:val="TitleChar"/>
    <w:uiPriority w:val="10"/>
    <w:qFormat/>
    <w:rsid w:val="00FB2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B5F"/>
    <w:pPr>
      <w:spacing w:before="160"/>
      <w:jc w:val="center"/>
    </w:pPr>
    <w:rPr>
      <w:i/>
      <w:iCs/>
      <w:color w:val="404040" w:themeColor="text1" w:themeTint="BF"/>
    </w:rPr>
  </w:style>
  <w:style w:type="character" w:customStyle="1" w:styleId="QuoteChar">
    <w:name w:val="Quote Char"/>
    <w:basedOn w:val="DefaultParagraphFont"/>
    <w:link w:val="Quote"/>
    <w:uiPriority w:val="29"/>
    <w:rsid w:val="00FB2B5F"/>
    <w:rPr>
      <w:i/>
      <w:iCs/>
      <w:color w:val="404040" w:themeColor="text1" w:themeTint="BF"/>
    </w:rPr>
  </w:style>
  <w:style w:type="paragraph" w:styleId="ListParagraph">
    <w:name w:val="List Paragraph"/>
    <w:basedOn w:val="Normal"/>
    <w:uiPriority w:val="34"/>
    <w:qFormat/>
    <w:rsid w:val="00FB2B5F"/>
    <w:pPr>
      <w:ind w:left="720"/>
      <w:contextualSpacing/>
    </w:pPr>
  </w:style>
  <w:style w:type="character" w:styleId="IntenseEmphasis">
    <w:name w:val="Intense Emphasis"/>
    <w:basedOn w:val="DefaultParagraphFont"/>
    <w:uiPriority w:val="21"/>
    <w:qFormat/>
    <w:rsid w:val="00FB2B5F"/>
    <w:rPr>
      <w:i/>
      <w:iCs/>
      <w:color w:val="0F4761" w:themeColor="accent1" w:themeShade="BF"/>
    </w:rPr>
  </w:style>
  <w:style w:type="paragraph" w:styleId="IntenseQuote">
    <w:name w:val="Intense Quote"/>
    <w:basedOn w:val="Normal"/>
    <w:next w:val="Normal"/>
    <w:link w:val="IntenseQuoteChar"/>
    <w:uiPriority w:val="30"/>
    <w:qFormat/>
    <w:rsid w:val="00FB2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B5F"/>
    <w:rPr>
      <w:i/>
      <w:iCs/>
      <w:color w:val="0F4761" w:themeColor="accent1" w:themeShade="BF"/>
    </w:rPr>
  </w:style>
  <w:style w:type="character" w:styleId="IntenseReference">
    <w:name w:val="Intense Reference"/>
    <w:basedOn w:val="DefaultParagraphFont"/>
    <w:uiPriority w:val="32"/>
    <w:qFormat/>
    <w:rsid w:val="00FB2B5F"/>
    <w:rPr>
      <w:b/>
      <w:bCs/>
      <w:smallCaps/>
      <w:color w:val="0F4761" w:themeColor="accent1" w:themeShade="BF"/>
      <w:spacing w:val="5"/>
    </w:rPr>
  </w:style>
  <w:style w:type="character" w:styleId="Hyperlink">
    <w:name w:val="Hyperlink"/>
    <w:basedOn w:val="DefaultParagraphFont"/>
    <w:uiPriority w:val="99"/>
    <w:unhideWhenUsed/>
    <w:rsid w:val="00471201"/>
    <w:rPr>
      <w:color w:val="467886" w:themeColor="hyperlink"/>
      <w:u w:val="single"/>
    </w:rPr>
  </w:style>
  <w:style w:type="character" w:styleId="UnresolvedMention">
    <w:name w:val="Unresolved Mention"/>
    <w:basedOn w:val="DefaultParagraphFont"/>
    <w:uiPriority w:val="99"/>
    <w:semiHidden/>
    <w:unhideWhenUsed/>
    <w:rsid w:val="00471201"/>
    <w:rPr>
      <w:color w:val="605E5C"/>
      <w:shd w:val="clear" w:color="auto" w:fill="E1DFDD"/>
    </w:rPr>
  </w:style>
  <w:style w:type="character" w:styleId="FollowedHyperlink">
    <w:name w:val="FollowedHyperlink"/>
    <w:basedOn w:val="DefaultParagraphFont"/>
    <w:uiPriority w:val="99"/>
    <w:semiHidden/>
    <w:unhideWhenUsed/>
    <w:rsid w:val="00471201"/>
    <w:rPr>
      <w:color w:val="96607D" w:themeColor="followedHyperlink"/>
      <w:u w:val="single"/>
    </w:rPr>
  </w:style>
  <w:style w:type="paragraph" w:styleId="NoSpacing">
    <w:name w:val="No Spacing"/>
    <w:uiPriority w:val="1"/>
    <w:qFormat/>
    <w:rsid w:val="007E7477"/>
    <w:pPr>
      <w:spacing w:after="0" w:line="240" w:lineRule="auto"/>
    </w:pPr>
    <w:rPr>
      <w:sz w:val="22"/>
      <w:szCs w:val="22"/>
    </w:rPr>
  </w:style>
  <w:style w:type="character" w:styleId="PlaceholderText">
    <w:name w:val="Placeholder Text"/>
    <w:basedOn w:val="DefaultParagraphFont"/>
    <w:uiPriority w:val="99"/>
    <w:semiHidden/>
    <w:rsid w:val="00987BE1"/>
    <w:rPr>
      <w:color w:val="666666"/>
    </w:rPr>
  </w:style>
  <w:style w:type="table" w:styleId="TableGrid">
    <w:name w:val="Table Grid"/>
    <w:basedOn w:val="TableNormal"/>
    <w:uiPriority w:val="39"/>
    <w:rsid w:val="007E512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46B76"/>
    <w:rPr>
      <w:sz w:val="16"/>
      <w:szCs w:val="16"/>
    </w:rPr>
  </w:style>
  <w:style w:type="paragraph" w:styleId="CommentText">
    <w:name w:val="annotation text"/>
    <w:basedOn w:val="Normal"/>
    <w:link w:val="CommentTextChar"/>
    <w:uiPriority w:val="99"/>
    <w:unhideWhenUsed/>
    <w:rsid w:val="00846B76"/>
    <w:pPr>
      <w:spacing w:line="240" w:lineRule="auto"/>
    </w:pPr>
    <w:rPr>
      <w:sz w:val="20"/>
      <w:szCs w:val="20"/>
    </w:rPr>
  </w:style>
  <w:style w:type="character" w:customStyle="1" w:styleId="CommentTextChar">
    <w:name w:val="Comment Text Char"/>
    <w:basedOn w:val="DefaultParagraphFont"/>
    <w:link w:val="CommentText"/>
    <w:uiPriority w:val="99"/>
    <w:rsid w:val="00846B76"/>
    <w:rPr>
      <w:sz w:val="20"/>
      <w:szCs w:val="20"/>
    </w:rPr>
  </w:style>
  <w:style w:type="table" w:customStyle="1" w:styleId="TableGrid1">
    <w:name w:val="Table Grid1"/>
    <w:basedOn w:val="TableNormal"/>
    <w:next w:val="TableGrid"/>
    <w:uiPriority w:val="39"/>
    <w:rsid w:val="00647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13188"/>
  </w:style>
  <w:style w:type="paragraph" w:styleId="Header">
    <w:name w:val="header"/>
    <w:basedOn w:val="Normal"/>
    <w:link w:val="HeaderChar"/>
    <w:uiPriority w:val="99"/>
    <w:unhideWhenUsed/>
    <w:rsid w:val="005131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188"/>
  </w:style>
  <w:style w:type="paragraph" w:styleId="Footer">
    <w:name w:val="footer"/>
    <w:basedOn w:val="Normal"/>
    <w:link w:val="FooterChar"/>
    <w:uiPriority w:val="99"/>
    <w:unhideWhenUsed/>
    <w:rsid w:val="005131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188"/>
  </w:style>
  <w:style w:type="paragraph" w:styleId="Revision">
    <w:name w:val="Revision"/>
    <w:hidden/>
    <w:uiPriority w:val="99"/>
    <w:semiHidden/>
    <w:rsid w:val="00464045"/>
    <w:pPr>
      <w:spacing w:after="0" w:line="240" w:lineRule="auto"/>
    </w:pPr>
  </w:style>
  <w:style w:type="paragraph" w:customStyle="1" w:styleId="font-claude-response-body">
    <w:name w:val="font-claude-response-body"/>
    <w:basedOn w:val="Normal"/>
    <w:rsid w:val="00FD4093"/>
    <w:pPr>
      <w:spacing w:before="100" w:beforeAutospacing="1" w:after="100" w:afterAutospacing="1" w:line="240" w:lineRule="auto"/>
    </w:pPr>
    <w:rPr>
      <w:rFonts w:eastAsia="Times New Roman"/>
      <w:kern w:val="0"/>
      <w14:ligatures w14:val="none"/>
    </w:rPr>
  </w:style>
  <w:style w:type="paragraph" w:customStyle="1" w:styleId="699ffef9">
    <w:name w:val="_699ffef9"/>
    <w:basedOn w:val="Normal"/>
    <w:rsid w:val="00271E26"/>
    <w:pPr>
      <w:spacing w:before="100" w:beforeAutospacing="1" w:after="100" w:afterAutospacing="1" w:line="240" w:lineRule="auto"/>
    </w:pPr>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AB31D-A220-4095-8C11-82229DDD9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824</Words>
  <Characters>4700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Keene</dc:creator>
  <cp:keywords/>
  <dc:description/>
  <cp:lastModifiedBy>Swathi Suresh</cp:lastModifiedBy>
  <cp:revision>2</cp:revision>
  <dcterms:created xsi:type="dcterms:W3CDTF">2026-09-30T17:51:00Z</dcterms:created>
  <dcterms:modified xsi:type="dcterms:W3CDTF">2026-09-30T17:51:00Z</dcterms:modified>
</cp:coreProperties>
</file>